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79073" w14:textId="77777777" w:rsidR="00432B3C" w:rsidRPr="00DD570C" w:rsidRDefault="00A4461C" w:rsidP="00FA0081">
      <w:pPr>
        <w:pStyle w:val="Heading1Sub-Heading"/>
        <w:jc w:val="both"/>
      </w:pPr>
      <w:bookmarkStart w:id="0" w:name="_Toc328144057"/>
      <w:bookmarkStart w:id="1" w:name="_Toc336594671"/>
      <w:bookmarkStart w:id="2" w:name="_Toc328144059"/>
      <w:bookmarkStart w:id="3" w:name="_Toc336594674"/>
      <w:bookmarkStart w:id="4" w:name="_GoBack"/>
      <w:bookmarkEnd w:id="4"/>
      <w:r w:rsidRPr="00A4461C">
        <w:t xml:space="preserve">FII Market Entry Requirements for </w:t>
      </w:r>
      <w:r w:rsidR="00167968">
        <w:t>United Arab Emirates (</w:t>
      </w:r>
      <w:r w:rsidR="00167968" w:rsidRPr="00167968">
        <w:t>Abu Dhabi (ADX), Dubai (DFM) and Nasdaq Dubai Limited (NDL)</w:t>
      </w:r>
      <w:r w:rsidR="00167968">
        <w:t>)</w:t>
      </w:r>
    </w:p>
    <w:tbl>
      <w:tblPr>
        <w:tblW w:w="9728" w:type="dxa"/>
        <w:tblLook w:val="04A0" w:firstRow="1" w:lastRow="0" w:firstColumn="1" w:lastColumn="0" w:noHBand="0" w:noVBand="1"/>
      </w:tblPr>
      <w:tblGrid>
        <w:gridCol w:w="2087"/>
        <w:gridCol w:w="7641"/>
      </w:tblGrid>
      <w:tr w:rsidR="00FA0081" w:rsidRPr="00FA0081" w14:paraId="56379076" w14:textId="77777777" w:rsidTr="00FA0081">
        <w:trPr>
          <w:trHeight w:val="140"/>
        </w:trPr>
        <w:tc>
          <w:tcPr>
            <w:tcW w:w="2087" w:type="dxa"/>
            <w:tcBorders>
              <w:top w:val="nil"/>
              <w:left w:val="nil"/>
              <w:bottom w:val="nil"/>
              <w:right w:val="nil"/>
            </w:tcBorders>
            <w:shd w:val="clear" w:color="auto" w:fill="auto"/>
            <w:hideMark/>
          </w:tcPr>
          <w:bookmarkEnd w:id="0"/>
          <w:bookmarkEnd w:id="1"/>
          <w:p w14:paraId="56379074"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Important</w:t>
            </w:r>
          </w:p>
        </w:tc>
        <w:tc>
          <w:tcPr>
            <w:tcW w:w="7641" w:type="dxa"/>
            <w:tcBorders>
              <w:top w:val="nil"/>
              <w:left w:val="nil"/>
              <w:bottom w:val="nil"/>
              <w:right w:val="nil"/>
            </w:tcBorders>
            <w:shd w:val="clear" w:color="auto" w:fill="auto"/>
            <w:vAlign w:val="center"/>
            <w:hideMark/>
          </w:tcPr>
          <w:p w14:paraId="56379075"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p>
        </w:tc>
      </w:tr>
      <w:tr w:rsidR="00FA0081" w:rsidRPr="00FA0081" w14:paraId="5637907B" w14:textId="77777777" w:rsidTr="00FA0081">
        <w:trPr>
          <w:trHeight w:val="495"/>
        </w:trPr>
        <w:tc>
          <w:tcPr>
            <w:tcW w:w="2087" w:type="dxa"/>
            <w:tcBorders>
              <w:top w:val="nil"/>
              <w:left w:val="nil"/>
              <w:bottom w:val="nil"/>
              <w:right w:val="nil"/>
            </w:tcBorders>
            <w:shd w:val="clear" w:color="auto" w:fill="auto"/>
            <w:hideMark/>
          </w:tcPr>
          <w:p w14:paraId="56379077"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ADX-DFM</w:t>
            </w:r>
          </w:p>
        </w:tc>
        <w:tc>
          <w:tcPr>
            <w:tcW w:w="7641" w:type="dxa"/>
            <w:tcBorders>
              <w:top w:val="nil"/>
              <w:left w:val="nil"/>
              <w:bottom w:val="nil"/>
              <w:right w:val="nil"/>
            </w:tcBorders>
            <w:shd w:val="clear" w:color="auto" w:fill="auto"/>
            <w:vAlign w:val="center"/>
            <w:hideMark/>
          </w:tcPr>
          <w:p w14:paraId="56379078" w14:textId="7A488519"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The Abu Dhabi and Dubai markets are a beneficial owner's market and therefore beside segregated securities accounts</w:t>
            </w:r>
            <w:r w:rsidR="006A6FFF">
              <w:rPr>
                <w:rFonts w:ascii="Verdana" w:eastAsia="Times New Roman" w:hAnsi="Verdana" w:cs="Arial"/>
                <w:color w:val="757575"/>
                <w:kern w:val="0"/>
                <w:sz w:val="18"/>
                <w:szCs w:val="18"/>
                <w:lang w:eastAsia="en-US"/>
              </w:rPr>
              <w:t>,</w:t>
            </w:r>
            <w:r w:rsidRPr="00FA0081">
              <w:rPr>
                <w:rFonts w:ascii="Verdana" w:eastAsia="Times New Roman" w:hAnsi="Verdana" w:cs="Arial"/>
                <w:color w:val="757575"/>
                <w:kern w:val="0"/>
                <w:sz w:val="18"/>
                <w:szCs w:val="18"/>
                <w:lang w:eastAsia="en-US"/>
              </w:rPr>
              <w:t xml:space="preserve"> the markets rules and regulations require that each investor must obtain its Investor Number. </w:t>
            </w:r>
          </w:p>
          <w:p w14:paraId="56379079"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 xml:space="preserve">This Investor Number is obtained from the market and is delivered by RBC Sub-Custodian. </w:t>
            </w:r>
          </w:p>
          <w:p w14:paraId="5637907A" w14:textId="77777777" w:rsidR="00FA0081" w:rsidRP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p>
        </w:tc>
      </w:tr>
      <w:tr w:rsidR="00FA0081" w:rsidRPr="00FA0081" w14:paraId="56379084" w14:textId="77777777" w:rsidTr="00FA0081">
        <w:trPr>
          <w:trHeight w:val="1858"/>
        </w:trPr>
        <w:tc>
          <w:tcPr>
            <w:tcW w:w="2087" w:type="dxa"/>
            <w:tcBorders>
              <w:top w:val="nil"/>
              <w:left w:val="nil"/>
              <w:bottom w:val="nil"/>
              <w:right w:val="nil"/>
            </w:tcBorders>
            <w:shd w:val="clear" w:color="auto" w:fill="auto"/>
            <w:hideMark/>
          </w:tcPr>
          <w:p w14:paraId="5637907C"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NDL</w:t>
            </w:r>
          </w:p>
        </w:tc>
        <w:tc>
          <w:tcPr>
            <w:tcW w:w="7641" w:type="dxa"/>
            <w:tcBorders>
              <w:top w:val="nil"/>
              <w:left w:val="nil"/>
              <w:bottom w:val="nil"/>
              <w:right w:val="nil"/>
            </w:tcBorders>
            <w:shd w:val="clear" w:color="auto" w:fill="auto"/>
            <w:vAlign w:val="center"/>
            <w:hideMark/>
          </w:tcPr>
          <w:p w14:paraId="5637907D"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 xml:space="preserve">Nasdaq Dubai Limited is an international Stock Exchange located within the Dubai International Financial Centre (DIFC). The DIFC is a capital market that is regulated to international standards, designated as a financial free zone. </w:t>
            </w:r>
          </w:p>
          <w:p w14:paraId="5637907E"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The DIFC has an independent regulator in the form of Dubai Financial Services Authority (DFSA), which is responsible for ensuring that the DIFC is regulated according to international best practice.</w:t>
            </w:r>
          </w:p>
          <w:p w14:paraId="5637907F"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 xml:space="preserve"> </w:t>
            </w:r>
            <w:r w:rsidRPr="00FA0081">
              <w:rPr>
                <w:rFonts w:ascii="Verdana" w:eastAsia="Times New Roman" w:hAnsi="Verdana" w:cs="Arial"/>
                <w:color w:val="757575"/>
                <w:kern w:val="0"/>
                <w:sz w:val="18"/>
                <w:szCs w:val="18"/>
                <w:lang w:eastAsia="en-US"/>
              </w:rPr>
              <w:br/>
              <w:t xml:space="preserve">For more information please visit </w:t>
            </w:r>
            <w:hyperlink r:id="rId10" w:history="1">
              <w:r w:rsidRPr="00AC7E12">
                <w:rPr>
                  <w:rStyle w:val="Hyperlink"/>
                  <w:rFonts w:ascii="Verdana" w:eastAsia="Times New Roman" w:hAnsi="Verdana" w:cs="Arial"/>
                  <w:kern w:val="0"/>
                  <w:sz w:val="18"/>
                  <w:szCs w:val="18"/>
                  <w:lang w:val="en-US" w:eastAsia="en-US"/>
                </w:rPr>
                <w:t>www.nasdaqdubai.com</w:t>
              </w:r>
            </w:hyperlink>
          </w:p>
          <w:p w14:paraId="56379083" w14:textId="26B38C31" w:rsidR="00FA0081" w:rsidRPr="00FA0081" w:rsidRDefault="00FA0081" w:rsidP="006A6FFF">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br/>
              <w:t>Further to recent market changes where NASDAQ Dubai have consolidated their operations with the Dubai DFM, investors must obtain an Investor Number (which will be the same for DFM and NDL).</w:t>
            </w:r>
          </w:p>
        </w:tc>
      </w:tr>
      <w:tr w:rsidR="00FA0081" w:rsidRPr="00FA0081" w14:paraId="56379090" w14:textId="77777777" w:rsidTr="00FA0081">
        <w:trPr>
          <w:trHeight w:val="1487"/>
        </w:trPr>
        <w:tc>
          <w:tcPr>
            <w:tcW w:w="2087" w:type="dxa"/>
            <w:tcBorders>
              <w:top w:val="nil"/>
              <w:left w:val="nil"/>
              <w:bottom w:val="nil"/>
              <w:right w:val="nil"/>
            </w:tcBorders>
            <w:shd w:val="clear" w:color="auto" w:fill="auto"/>
            <w:hideMark/>
          </w:tcPr>
          <w:p w14:paraId="56379085" w14:textId="77777777" w:rsid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p>
          <w:p w14:paraId="56379086"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All</w:t>
            </w:r>
          </w:p>
        </w:tc>
        <w:tc>
          <w:tcPr>
            <w:tcW w:w="7641" w:type="dxa"/>
            <w:tcBorders>
              <w:top w:val="nil"/>
              <w:left w:val="nil"/>
              <w:bottom w:val="nil"/>
              <w:right w:val="nil"/>
            </w:tcBorders>
            <w:shd w:val="clear" w:color="auto" w:fill="auto"/>
            <w:vAlign w:val="center"/>
            <w:hideMark/>
          </w:tcPr>
          <w:p w14:paraId="56379087"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p>
          <w:p w14:paraId="56379088"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As part of the FII account opening process all documentation must be in exactly the same investor name and on the investor's letterhead where appropriate.</w:t>
            </w:r>
          </w:p>
          <w:p w14:paraId="5637908E" w14:textId="0948AFFA"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br/>
              <w:t>POA: if the client has already signed a POA to open one market, there is no need to sign a new one to open one of the other markets.</w:t>
            </w:r>
          </w:p>
          <w:p w14:paraId="7339AA82" w14:textId="77777777" w:rsidR="006A6FFF" w:rsidRPr="00167968" w:rsidRDefault="006A6FFF" w:rsidP="006A6FFF">
            <w:pPr>
              <w:pStyle w:val="NormalWeb"/>
              <w:spacing w:after="0"/>
              <w:jc w:val="both"/>
              <w:rPr>
                <w:rFonts w:ascii="Verdana" w:hAnsi="Verdana"/>
                <w:color w:val="757575"/>
                <w:sz w:val="18"/>
                <w:szCs w:val="18"/>
              </w:rPr>
            </w:pPr>
            <w:r w:rsidRPr="00167968">
              <w:rPr>
                <w:rFonts w:ascii="Verdana" w:hAnsi="Verdana"/>
                <w:color w:val="757575"/>
                <w:sz w:val="18"/>
                <w:szCs w:val="18"/>
              </w:rPr>
              <w:t xml:space="preserve">Markets allow for multiple NINs for same investor with different custodians. If client has existing NIN in market, </w:t>
            </w:r>
            <w:r>
              <w:rPr>
                <w:rFonts w:ascii="Verdana" w:hAnsi="Verdana"/>
                <w:color w:val="757575"/>
                <w:sz w:val="18"/>
                <w:szCs w:val="18"/>
              </w:rPr>
              <w:t>it needs to be provided along with the following information.</w:t>
            </w:r>
          </w:p>
          <w:p w14:paraId="064F28FA" w14:textId="372F6E5A" w:rsidR="006A6FFF" w:rsidRPr="00167968" w:rsidRDefault="006A6FFF" w:rsidP="006A6FFF">
            <w:pPr>
              <w:pStyle w:val="NormalWeb"/>
              <w:spacing w:before="0" w:after="0"/>
              <w:jc w:val="both"/>
              <w:rPr>
                <w:rFonts w:ascii="Verdana" w:hAnsi="Verdana"/>
                <w:color w:val="757575"/>
                <w:sz w:val="18"/>
                <w:szCs w:val="18"/>
              </w:rPr>
            </w:pPr>
            <w:r w:rsidRPr="00167968">
              <w:rPr>
                <w:rFonts w:ascii="Verdana" w:hAnsi="Verdana"/>
                <w:color w:val="757575"/>
                <w:sz w:val="18"/>
                <w:szCs w:val="18"/>
              </w:rPr>
              <w:t xml:space="preserve"> - Ex</w:t>
            </w:r>
            <w:r>
              <w:rPr>
                <w:rFonts w:ascii="Verdana" w:hAnsi="Verdana"/>
                <w:color w:val="757575"/>
                <w:sz w:val="18"/>
                <w:szCs w:val="18"/>
              </w:rPr>
              <w:t>isting NIN</w:t>
            </w:r>
          </w:p>
          <w:p w14:paraId="25E3B9F1" w14:textId="5C2756D6" w:rsidR="006A6FFF" w:rsidRPr="00167968" w:rsidRDefault="006A6FFF" w:rsidP="006A6FFF">
            <w:pPr>
              <w:pStyle w:val="NormalWeb"/>
              <w:spacing w:before="0" w:after="0"/>
              <w:jc w:val="both"/>
              <w:rPr>
                <w:rFonts w:ascii="Verdana" w:hAnsi="Verdana"/>
                <w:color w:val="757575"/>
                <w:sz w:val="18"/>
                <w:szCs w:val="18"/>
              </w:rPr>
            </w:pPr>
            <w:r>
              <w:rPr>
                <w:rFonts w:ascii="Verdana" w:hAnsi="Verdana"/>
                <w:color w:val="757575"/>
                <w:sz w:val="18"/>
                <w:szCs w:val="18"/>
              </w:rPr>
              <w:t xml:space="preserve"> - Existing Custodian</w:t>
            </w:r>
          </w:p>
          <w:p w14:paraId="60E9ED7D" w14:textId="46207578" w:rsidR="006A6FFF" w:rsidRPr="006A6FFF" w:rsidRDefault="006A6FFF" w:rsidP="006A6FFF">
            <w:pPr>
              <w:pStyle w:val="NormalWeb"/>
              <w:spacing w:before="0" w:after="0"/>
              <w:jc w:val="both"/>
              <w:rPr>
                <w:rFonts w:ascii="Verdana" w:hAnsi="Verdana"/>
                <w:color w:val="757575"/>
                <w:sz w:val="18"/>
                <w:szCs w:val="18"/>
              </w:rPr>
            </w:pPr>
            <w:r>
              <w:rPr>
                <w:rFonts w:ascii="Verdana" w:hAnsi="Verdana"/>
                <w:color w:val="757575"/>
                <w:sz w:val="18"/>
                <w:szCs w:val="18"/>
              </w:rPr>
              <w:t xml:space="preserve"> - Reason for additional NIN</w:t>
            </w:r>
          </w:p>
          <w:p w14:paraId="5637908F" w14:textId="77777777" w:rsidR="00FA0081" w:rsidRP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p>
        </w:tc>
      </w:tr>
      <w:tr w:rsidR="00FA0081" w:rsidRPr="00FA0081" w14:paraId="56379094" w14:textId="77777777" w:rsidTr="00FA0081">
        <w:trPr>
          <w:trHeight w:val="140"/>
        </w:trPr>
        <w:tc>
          <w:tcPr>
            <w:tcW w:w="2087" w:type="dxa"/>
            <w:tcBorders>
              <w:top w:val="nil"/>
              <w:left w:val="nil"/>
              <w:bottom w:val="nil"/>
              <w:right w:val="nil"/>
            </w:tcBorders>
            <w:shd w:val="clear" w:color="auto" w:fill="auto"/>
            <w:hideMark/>
          </w:tcPr>
          <w:p w14:paraId="56379091" w14:textId="01048F49"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Fees</w:t>
            </w:r>
            <w:r w:rsidR="00F66CF1">
              <w:rPr>
                <w:rFonts w:ascii="Verdana" w:eastAsia="Times New Roman" w:hAnsi="Verdana" w:cs="Arial"/>
                <w:b/>
                <w:bCs/>
                <w:color w:val="000000"/>
                <w:kern w:val="0"/>
                <w:sz w:val="18"/>
                <w:szCs w:val="18"/>
                <w:lang w:eastAsia="en-US"/>
              </w:rPr>
              <w:t xml:space="preserve"> – ADX only</w:t>
            </w:r>
          </w:p>
        </w:tc>
        <w:tc>
          <w:tcPr>
            <w:tcW w:w="7641" w:type="dxa"/>
            <w:tcBorders>
              <w:top w:val="nil"/>
              <w:left w:val="nil"/>
              <w:bottom w:val="nil"/>
              <w:right w:val="nil"/>
            </w:tcBorders>
            <w:shd w:val="clear" w:color="auto" w:fill="auto"/>
            <w:vAlign w:val="center"/>
            <w:hideMark/>
          </w:tcPr>
          <w:p w14:paraId="56379092" w14:textId="18EBEEB6"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100 AED</w:t>
            </w:r>
            <w:r w:rsidR="00F66CF1">
              <w:rPr>
                <w:rFonts w:ascii="Verdana" w:eastAsia="Times New Roman" w:hAnsi="Verdana" w:cs="Arial"/>
                <w:color w:val="757575"/>
                <w:kern w:val="0"/>
                <w:sz w:val="18"/>
                <w:szCs w:val="18"/>
                <w:lang w:eastAsia="en-US"/>
              </w:rPr>
              <w:t xml:space="preserve"> + 5% VAT</w:t>
            </w:r>
            <w:r w:rsidRPr="00FA0081">
              <w:rPr>
                <w:rFonts w:ascii="Verdana" w:eastAsia="Times New Roman" w:hAnsi="Verdana" w:cs="Arial"/>
                <w:color w:val="757575"/>
                <w:kern w:val="0"/>
                <w:sz w:val="18"/>
                <w:szCs w:val="18"/>
                <w:lang w:eastAsia="en-US"/>
              </w:rPr>
              <w:t xml:space="preserve"> for the NIN opening and for the NIN closing</w:t>
            </w:r>
          </w:p>
          <w:p w14:paraId="56379093" w14:textId="77777777" w:rsidR="00FA0081" w:rsidRP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p>
        </w:tc>
      </w:tr>
      <w:tr w:rsidR="00FA0081" w:rsidRPr="00FA0081" w14:paraId="56379098" w14:textId="77777777" w:rsidTr="00FA0081">
        <w:trPr>
          <w:trHeight w:val="140"/>
        </w:trPr>
        <w:tc>
          <w:tcPr>
            <w:tcW w:w="2087" w:type="dxa"/>
            <w:tcBorders>
              <w:top w:val="nil"/>
              <w:left w:val="nil"/>
              <w:bottom w:val="nil"/>
              <w:right w:val="nil"/>
            </w:tcBorders>
            <w:shd w:val="clear" w:color="auto" w:fill="auto"/>
            <w:hideMark/>
          </w:tcPr>
          <w:p w14:paraId="56379095"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Tax Consultant</w:t>
            </w:r>
          </w:p>
        </w:tc>
        <w:tc>
          <w:tcPr>
            <w:tcW w:w="7641" w:type="dxa"/>
            <w:tcBorders>
              <w:top w:val="nil"/>
              <w:left w:val="nil"/>
              <w:bottom w:val="nil"/>
              <w:right w:val="nil"/>
            </w:tcBorders>
            <w:shd w:val="clear" w:color="auto" w:fill="auto"/>
            <w:vAlign w:val="center"/>
            <w:hideMark/>
          </w:tcPr>
          <w:p w14:paraId="56379096" w14:textId="77777777" w:rsid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Not required</w:t>
            </w:r>
          </w:p>
          <w:p w14:paraId="56379097" w14:textId="77777777" w:rsidR="00FA0081" w:rsidRP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p>
        </w:tc>
      </w:tr>
      <w:tr w:rsidR="00FA0081" w:rsidRPr="00FA0081" w14:paraId="5637909B" w14:textId="77777777" w:rsidTr="00FA0081">
        <w:trPr>
          <w:trHeight w:val="140"/>
        </w:trPr>
        <w:tc>
          <w:tcPr>
            <w:tcW w:w="2087" w:type="dxa"/>
            <w:tcBorders>
              <w:top w:val="nil"/>
              <w:left w:val="nil"/>
              <w:bottom w:val="nil"/>
              <w:right w:val="nil"/>
            </w:tcBorders>
            <w:shd w:val="clear" w:color="auto" w:fill="auto"/>
            <w:hideMark/>
          </w:tcPr>
          <w:p w14:paraId="56379099" w14:textId="77777777" w:rsidR="00FA0081" w:rsidRPr="00FA0081" w:rsidRDefault="00FA0081" w:rsidP="00FA0081">
            <w:pPr>
              <w:adjustRightInd/>
              <w:spacing w:before="0" w:after="0" w:line="240" w:lineRule="auto"/>
              <w:jc w:val="both"/>
              <w:rPr>
                <w:rFonts w:ascii="Verdana" w:eastAsia="Times New Roman" w:hAnsi="Verdana" w:cs="Arial"/>
                <w:b/>
                <w:bCs/>
                <w:color w:val="000000"/>
                <w:kern w:val="0"/>
                <w:sz w:val="18"/>
                <w:szCs w:val="18"/>
                <w:lang w:eastAsia="en-US"/>
              </w:rPr>
            </w:pPr>
            <w:r w:rsidRPr="00FA0081">
              <w:rPr>
                <w:rFonts w:ascii="Verdana" w:eastAsia="Times New Roman" w:hAnsi="Verdana" w:cs="Arial"/>
                <w:b/>
                <w:bCs/>
                <w:color w:val="000000"/>
                <w:kern w:val="0"/>
                <w:sz w:val="18"/>
                <w:szCs w:val="18"/>
                <w:lang w:eastAsia="en-US"/>
              </w:rPr>
              <w:t xml:space="preserve">E-signature   </w:t>
            </w:r>
          </w:p>
        </w:tc>
        <w:tc>
          <w:tcPr>
            <w:tcW w:w="7641" w:type="dxa"/>
            <w:tcBorders>
              <w:top w:val="nil"/>
              <w:left w:val="nil"/>
              <w:bottom w:val="nil"/>
              <w:right w:val="nil"/>
            </w:tcBorders>
            <w:shd w:val="clear" w:color="auto" w:fill="auto"/>
            <w:vAlign w:val="center"/>
            <w:hideMark/>
          </w:tcPr>
          <w:p w14:paraId="5637909A" w14:textId="6EC2B453" w:rsidR="00FA0081" w:rsidRPr="00FA0081" w:rsidRDefault="00FA0081" w:rsidP="00FA0081">
            <w:pPr>
              <w:adjustRightInd/>
              <w:spacing w:before="0" w:after="0" w:line="240" w:lineRule="auto"/>
              <w:jc w:val="both"/>
              <w:rPr>
                <w:rFonts w:ascii="Verdana" w:eastAsia="Times New Roman" w:hAnsi="Verdana" w:cs="Arial"/>
                <w:color w:val="757575"/>
                <w:kern w:val="0"/>
                <w:sz w:val="18"/>
                <w:szCs w:val="18"/>
                <w:lang w:eastAsia="en-US"/>
              </w:rPr>
            </w:pPr>
            <w:r w:rsidRPr="00FA0081">
              <w:rPr>
                <w:rFonts w:ascii="Verdana" w:eastAsia="Times New Roman" w:hAnsi="Verdana" w:cs="Arial"/>
                <w:color w:val="757575"/>
                <w:kern w:val="0"/>
                <w:sz w:val="18"/>
                <w:szCs w:val="18"/>
                <w:lang w:eastAsia="en-US"/>
              </w:rPr>
              <w:t>No</w:t>
            </w:r>
            <w:r w:rsidR="0001492B">
              <w:rPr>
                <w:rFonts w:ascii="Verdana" w:eastAsia="Times New Roman" w:hAnsi="Verdana" w:cs="Arial"/>
                <w:color w:val="757575"/>
                <w:kern w:val="0"/>
                <w:sz w:val="18"/>
                <w:szCs w:val="18"/>
                <w:lang w:eastAsia="en-US"/>
              </w:rPr>
              <w:t>t Accepted</w:t>
            </w:r>
          </w:p>
        </w:tc>
      </w:tr>
    </w:tbl>
    <w:p w14:paraId="5637909C" w14:textId="77777777" w:rsidR="002A1B9C" w:rsidRDefault="002A1B9C" w:rsidP="00FA0081">
      <w:pPr>
        <w:pStyle w:val="Heading2"/>
        <w:jc w:val="both"/>
        <w:rPr>
          <w:b/>
        </w:rPr>
      </w:pPr>
    </w:p>
    <w:p w14:paraId="3E8CD7E0" w14:textId="59BE74BD" w:rsidR="0001492B" w:rsidRDefault="0001492B" w:rsidP="0001492B">
      <w:pPr>
        <w:pStyle w:val="BodyText"/>
      </w:pPr>
    </w:p>
    <w:p w14:paraId="5637909D" w14:textId="7F1C7CD8" w:rsidR="006A6FFF" w:rsidRDefault="006A6FFF">
      <w:pPr>
        <w:adjustRightInd/>
        <w:spacing w:before="0" w:after="200" w:line="276" w:lineRule="auto"/>
        <w:rPr>
          <w:b/>
          <w:color w:val="0060A9"/>
          <w:sz w:val="25"/>
          <w:szCs w:val="25"/>
        </w:rPr>
      </w:pPr>
      <w:r>
        <w:rPr>
          <w:b/>
        </w:rPr>
        <w:br w:type="page"/>
      </w:r>
    </w:p>
    <w:p w14:paraId="02EE7923" w14:textId="77777777" w:rsidR="002A1B9C" w:rsidRDefault="002A1B9C" w:rsidP="00FA0081">
      <w:pPr>
        <w:pStyle w:val="Heading2"/>
        <w:jc w:val="both"/>
        <w:rPr>
          <w:b/>
        </w:rPr>
      </w:pPr>
    </w:p>
    <w:p w14:paraId="5637909E" w14:textId="77777777" w:rsidR="00432B3C" w:rsidRPr="003C744E" w:rsidRDefault="00A4461C" w:rsidP="00FA0081">
      <w:pPr>
        <w:pStyle w:val="Heading2"/>
        <w:jc w:val="both"/>
      </w:pPr>
      <w:r w:rsidRPr="00A4461C">
        <w:t>Account Opening</w:t>
      </w:r>
    </w:p>
    <w:p w14:paraId="563790AB" w14:textId="77777777" w:rsidR="00FA0081" w:rsidRPr="00C457C6" w:rsidRDefault="00FA0081" w:rsidP="00FA0081">
      <w:pPr>
        <w:pStyle w:val="ListParagraph"/>
        <w:numPr>
          <w:ilvl w:val="0"/>
          <w:numId w:val="30"/>
        </w:numPr>
        <w:spacing w:before="100" w:beforeAutospacing="1" w:after="100" w:afterAutospacing="1" w:line="240" w:lineRule="atLeast"/>
        <w:ind w:left="360"/>
        <w:contextualSpacing/>
        <w:jc w:val="both"/>
        <w:rPr>
          <w:rFonts w:ascii="Verdana" w:hAnsi="Verdana"/>
          <w:b/>
          <w:color w:val="757575"/>
          <w:sz w:val="18"/>
          <w:szCs w:val="18"/>
        </w:rPr>
      </w:pPr>
      <w:bookmarkStart w:id="5" w:name="_Toc336594673"/>
      <w:bookmarkStart w:id="6" w:name="_Toc385322899"/>
      <w:r w:rsidRPr="00407E94">
        <w:rPr>
          <w:rFonts w:ascii="Verdana" w:hAnsi="Verdana"/>
          <w:b/>
          <w:color w:val="757575"/>
          <w:sz w:val="18"/>
          <w:szCs w:val="18"/>
        </w:rPr>
        <w:t>Power of Attorney</w:t>
      </w:r>
      <w:r>
        <w:rPr>
          <w:rFonts w:ascii="Verdana" w:hAnsi="Verdana"/>
          <w:b/>
          <w:color w:val="757575"/>
          <w:sz w:val="18"/>
          <w:szCs w:val="18"/>
        </w:rPr>
        <w:t xml:space="preserve"> – </w:t>
      </w:r>
      <w:r w:rsidRPr="00B708B1">
        <w:rPr>
          <w:rFonts w:ascii="Verdana" w:hAnsi="Verdana"/>
          <w:i/>
          <w:iCs/>
          <w:color w:val="757575"/>
          <w:sz w:val="18"/>
          <w:szCs w:val="18"/>
        </w:rPr>
        <w:t>Original</w:t>
      </w:r>
      <w:r w:rsidRPr="00B708B1">
        <w:rPr>
          <w:rFonts w:ascii="Verdana" w:hAnsi="Verdana"/>
          <w:b/>
          <w:i/>
          <w:iCs/>
          <w:color w:val="757575"/>
          <w:sz w:val="18"/>
          <w:szCs w:val="18"/>
        </w:rPr>
        <w:t xml:space="preserve"> </w:t>
      </w:r>
      <w:r w:rsidRPr="00B708B1">
        <w:rPr>
          <w:rFonts w:ascii="Verdana" w:hAnsi="Verdana"/>
          <w:i/>
          <w:iCs/>
          <w:color w:val="757575"/>
          <w:sz w:val="18"/>
          <w:szCs w:val="18"/>
        </w:rPr>
        <w:t>notarized and consularized</w:t>
      </w:r>
    </w:p>
    <w:p w14:paraId="563790AF" w14:textId="45FD725C" w:rsidR="00FA0081" w:rsidRPr="00C457C6" w:rsidRDefault="00DD10E5" w:rsidP="00FA0081">
      <w:pPr>
        <w:adjustRightInd/>
        <w:spacing w:before="0" w:after="0" w:line="240" w:lineRule="auto"/>
        <w:ind w:left="360"/>
        <w:jc w:val="both"/>
        <w:rPr>
          <w:rFonts w:ascii="Verdana" w:hAnsi="Verdana"/>
          <w:color w:val="757575"/>
          <w:sz w:val="18"/>
          <w:szCs w:val="18"/>
        </w:rPr>
      </w:pPr>
      <w:r>
        <w:rPr>
          <w:rFonts w:ascii="Verdana" w:eastAsiaTheme="minorHAnsi" w:hAnsi="Verdana" w:cstheme="minorBidi"/>
          <w:szCs w:val="22"/>
          <w:lang w:eastAsia="en-US"/>
        </w:rPr>
        <w:object w:dxaOrig="1440" w:dyaOrig="1215" w14:anchorId="63D6E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1pt" o:ole="">
            <v:imagedata r:id="rId11" o:title=""/>
          </v:shape>
          <o:OLEObject Type="Embed" ProgID="Outlook.FileAttach" ShapeID="_x0000_i1025" DrawAspect="Icon" ObjectID="_1748267941" r:id="rId12"/>
        </w:object>
      </w:r>
    </w:p>
    <w:p w14:paraId="563790B0" w14:textId="77777777" w:rsidR="00FA0081" w:rsidRDefault="00FA0081" w:rsidP="00FA0081">
      <w:pPr>
        <w:adjustRightInd/>
        <w:spacing w:before="0" w:after="0" w:line="240" w:lineRule="auto"/>
        <w:ind w:left="360"/>
        <w:jc w:val="both"/>
        <w:rPr>
          <w:rFonts w:ascii="Verdana" w:hAnsi="Verdana"/>
          <w:b/>
          <w:bCs/>
          <w:color w:val="757575"/>
          <w:sz w:val="18"/>
          <w:szCs w:val="18"/>
        </w:rPr>
      </w:pPr>
    </w:p>
    <w:p w14:paraId="563790B1" w14:textId="6DC7F2F2" w:rsidR="00FA0081" w:rsidRPr="00B708B1" w:rsidRDefault="00FA0081" w:rsidP="00FA0081">
      <w:pPr>
        <w:adjustRightInd/>
        <w:spacing w:before="0" w:after="0" w:line="240" w:lineRule="auto"/>
        <w:ind w:left="360"/>
        <w:jc w:val="both"/>
        <w:rPr>
          <w:rFonts w:ascii="Verdana" w:hAnsi="Verdana"/>
          <w:color w:val="757575"/>
          <w:sz w:val="18"/>
          <w:szCs w:val="18"/>
        </w:rPr>
      </w:pPr>
      <w:r>
        <w:rPr>
          <w:rFonts w:ascii="Verdana" w:hAnsi="Verdana"/>
          <w:b/>
          <w:bCs/>
          <w:color w:val="757575"/>
          <w:sz w:val="18"/>
          <w:szCs w:val="18"/>
        </w:rPr>
        <w:t>Notes</w:t>
      </w:r>
      <w:r w:rsidRPr="00B708B1">
        <w:rPr>
          <w:rFonts w:ascii="Verdana" w:hAnsi="Verdana"/>
          <w:b/>
          <w:bCs/>
          <w:color w:val="757575"/>
          <w:sz w:val="18"/>
          <w:szCs w:val="18"/>
        </w:rPr>
        <w:t>:</w:t>
      </w:r>
      <w:r w:rsidRPr="00B708B1">
        <w:rPr>
          <w:rFonts w:ascii="Verdana" w:hAnsi="Verdana"/>
          <w:color w:val="757575"/>
          <w:sz w:val="18"/>
          <w:szCs w:val="18"/>
        </w:rPr>
        <w:t xml:space="preserve"> </w:t>
      </w:r>
      <w:r w:rsidR="006A6FFF">
        <w:rPr>
          <w:rFonts w:ascii="Verdana" w:hAnsi="Verdana"/>
          <w:color w:val="757575"/>
          <w:sz w:val="18"/>
          <w:szCs w:val="18"/>
        </w:rPr>
        <w:t>The POA</w:t>
      </w:r>
      <w:r w:rsidRPr="00B708B1">
        <w:rPr>
          <w:rFonts w:ascii="Verdana" w:hAnsi="Verdana"/>
          <w:color w:val="757575"/>
          <w:sz w:val="18"/>
          <w:szCs w:val="18"/>
        </w:rPr>
        <w:t xml:space="preserve"> should not be amended. SCB cannot guarantee that the market participants would accept the POA if any changes are requested.</w:t>
      </w:r>
    </w:p>
    <w:p w14:paraId="563790B2" w14:textId="77777777" w:rsidR="00FA0081" w:rsidRDefault="00FA0081" w:rsidP="00FA0081">
      <w:pPr>
        <w:spacing w:before="0" w:after="0"/>
        <w:ind w:left="360" w:hanging="360"/>
        <w:jc w:val="both"/>
        <w:rPr>
          <w:rFonts w:ascii="Verdana" w:hAnsi="Verdana"/>
          <w:color w:val="757575"/>
          <w:sz w:val="18"/>
          <w:szCs w:val="18"/>
        </w:rPr>
      </w:pPr>
    </w:p>
    <w:p w14:paraId="563790B5" w14:textId="1A34ADA2" w:rsidR="00FA0081" w:rsidRDefault="006A6FFF" w:rsidP="00B87A23">
      <w:pPr>
        <w:numPr>
          <w:ilvl w:val="0"/>
          <w:numId w:val="30"/>
        </w:numPr>
        <w:adjustRightInd/>
        <w:spacing w:before="0" w:after="0"/>
        <w:ind w:left="360"/>
        <w:jc w:val="both"/>
        <w:rPr>
          <w:rFonts w:ascii="Verdana" w:hAnsi="Verdana"/>
          <w:color w:val="808080"/>
          <w:sz w:val="18"/>
          <w:szCs w:val="18"/>
        </w:rPr>
      </w:pPr>
      <w:r>
        <w:rPr>
          <w:rFonts w:ascii="Verdana" w:hAnsi="Verdana"/>
          <w:b/>
          <w:color w:val="757575"/>
          <w:sz w:val="18"/>
          <w:szCs w:val="18"/>
        </w:rPr>
        <w:t>Supporting document</w:t>
      </w:r>
      <w:r w:rsidR="00A4461C" w:rsidRPr="00FA0081">
        <w:rPr>
          <w:rFonts w:ascii="Verdana" w:hAnsi="Verdana"/>
          <w:color w:val="757575"/>
          <w:sz w:val="18"/>
          <w:szCs w:val="18"/>
        </w:rPr>
        <w:t xml:space="preserve"> </w:t>
      </w:r>
      <w:r w:rsidR="00F13CD4">
        <w:rPr>
          <w:rFonts w:ascii="Verdana" w:hAnsi="Verdana"/>
          <w:i/>
          <w:iCs/>
          <w:color w:val="757575"/>
          <w:sz w:val="18"/>
          <w:szCs w:val="18"/>
        </w:rPr>
        <w:t>–</w:t>
      </w:r>
      <w:r>
        <w:rPr>
          <w:rFonts w:ascii="Verdana" w:hAnsi="Verdana"/>
          <w:i/>
          <w:iCs/>
          <w:color w:val="757575"/>
          <w:sz w:val="18"/>
          <w:szCs w:val="18"/>
        </w:rPr>
        <w:t xml:space="preserve"> </w:t>
      </w:r>
      <w:r w:rsidR="00F13CD4">
        <w:rPr>
          <w:rFonts w:ascii="Verdana" w:hAnsi="Verdana"/>
          <w:i/>
          <w:iCs/>
          <w:color w:val="757575"/>
          <w:sz w:val="18"/>
          <w:szCs w:val="18"/>
        </w:rPr>
        <w:t>Certified True copy by the global custodian</w:t>
      </w:r>
    </w:p>
    <w:p w14:paraId="563790B6" w14:textId="77777777" w:rsidR="00FA0081" w:rsidRDefault="00FA0081" w:rsidP="00FA0081">
      <w:pPr>
        <w:adjustRightInd/>
        <w:spacing w:before="0" w:after="0"/>
        <w:ind w:left="360"/>
        <w:jc w:val="both"/>
        <w:rPr>
          <w:rFonts w:ascii="Verdana" w:hAnsi="Verdana"/>
          <w:b/>
          <w:color w:val="757575"/>
          <w:sz w:val="18"/>
          <w:szCs w:val="18"/>
        </w:rPr>
      </w:pPr>
    </w:p>
    <w:p w14:paraId="563790B7" w14:textId="77777777" w:rsidR="00CF4B3E" w:rsidRPr="00FA0081" w:rsidRDefault="00CF4B3E" w:rsidP="00FA0081">
      <w:pPr>
        <w:adjustRightInd/>
        <w:spacing w:before="0" w:after="0"/>
        <w:ind w:left="360"/>
        <w:jc w:val="both"/>
        <w:rPr>
          <w:rFonts w:ascii="Verdana" w:hAnsi="Verdana"/>
          <w:color w:val="808080"/>
          <w:sz w:val="18"/>
          <w:szCs w:val="18"/>
        </w:rPr>
      </w:pPr>
      <w:r w:rsidRPr="00FA0081">
        <w:rPr>
          <w:rFonts w:ascii="Verdana" w:hAnsi="Verdana"/>
          <w:color w:val="808080"/>
          <w:sz w:val="18"/>
          <w:szCs w:val="18"/>
        </w:rPr>
        <w:t>Constitutive document issued by the Regulator (certificate of incorporation, trade license, Certificate of Tax Residency, Certificate of Good Standing, Extract from Trade Register etc...)</w:t>
      </w:r>
    </w:p>
    <w:p w14:paraId="563790B8" w14:textId="77777777" w:rsidR="00CF4B3E" w:rsidRDefault="00CF4B3E" w:rsidP="00FA0081">
      <w:pPr>
        <w:ind w:left="360"/>
        <w:jc w:val="both"/>
        <w:rPr>
          <w:rFonts w:ascii="Verdana" w:hAnsi="Verdana"/>
          <w:color w:val="808080"/>
          <w:sz w:val="18"/>
          <w:szCs w:val="18"/>
        </w:rPr>
      </w:pPr>
    </w:p>
    <w:p w14:paraId="563790B9" w14:textId="77777777" w:rsidR="00CF4B3E" w:rsidRDefault="00CF4B3E" w:rsidP="00FA0081">
      <w:pPr>
        <w:jc w:val="both"/>
        <w:rPr>
          <w:rFonts w:ascii="Verdana" w:hAnsi="Verdana"/>
          <w:b/>
          <w:color w:val="757575"/>
          <w:sz w:val="18"/>
          <w:szCs w:val="18"/>
        </w:rPr>
      </w:pPr>
      <w:r>
        <w:rPr>
          <w:rFonts w:ascii="Verdana" w:hAnsi="Verdana"/>
          <w:b/>
          <w:color w:val="757575"/>
          <w:sz w:val="18"/>
          <w:szCs w:val="18"/>
        </w:rPr>
        <w:t>Notes:</w:t>
      </w:r>
    </w:p>
    <w:p w14:paraId="74563825" w14:textId="7E70B792" w:rsidR="006A6FFF" w:rsidRPr="006A6FFF" w:rsidRDefault="006A6FFF" w:rsidP="006A6FFF">
      <w:pPr>
        <w:contextualSpacing/>
        <w:jc w:val="both"/>
        <w:rPr>
          <w:rFonts w:ascii="Verdana" w:hAnsi="Verdana"/>
          <w:color w:val="757575"/>
          <w:sz w:val="18"/>
          <w:szCs w:val="18"/>
        </w:rPr>
      </w:pPr>
      <w:r w:rsidRPr="006A6FFF">
        <w:rPr>
          <w:rFonts w:ascii="Verdana" w:hAnsi="Verdana"/>
          <w:color w:val="757575"/>
          <w:sz w:val="18"/>
          <w:szCs w:val="18"/>
        </w:rPr>
        <w:t>For Canadian clients:</w:t>
      </w:r>
    </w:p>
    <w:p w14:paraId="563790BB" w14:textId="64CA782A" w:rsidR="00CF4B3E" w:rsidRDefault="006A6FFF" w:rsidP="006A6FFF">
      <w:pPr>
        <w:contextualSpacing/>
        <w:jc w:val="both"/>
        <w:rPr>
          <w:rFonts w:ascii="Verdana" w:hAnsi="Verdana"/>
          <w:color w:val="757575"/>
          <w:sz w:val="18"/>
          <w:szCs w:val="18"/>
        </w:rPr>
      </w:pPr>
      <w:r w:rsidRPr="006A6FFF">
        <w:rPr>
          <w:rFonts w:ascii="Verdana" w:hAnsi="Verdana"/>
          <w:b/>
          <w:color w:val="757575"/>
          <w:sz w:val="18"/>
          <w:szCs w:val="18"/>
        </w:rPr>
        <w:t>D</w:t>
      </w:r>
      <w:r w:rsidR="00CF4B3E" w:rsidRPr="006A6FFF">
        <w:rPr>
          <w:rFonts w:ascii="Verdana" w:hAnsi="Verdana"/>
          <w:b/>
          <w:color w:val="757575"/>
          <w:sz w:val="18"/>
          <w:szCs w:val="18"/>
        </w:rPr>
        <w:t>FM &amp; NDL</w:t>
      </w:r>
      <w:r w:rsidR="00CF4B3E" w:rsidRPr="006A6FFF">
        <w:rPr>
          <w:rFonts w:ascii="Verdana" w:hAnsi="Verdana"/>
          <w:color w:val="757575"/>
          <w:sz w:val="18"/>
          <w:szCs w:val="18"/>
        </w:rPr>
        <w:t xml:space="preserve"> accept the SEDAR Profile to open the NIN but as they might request additional information on the client, please provide documentation providing these (such as a p</w:t>
      </w:r>
      <w:r>
        <w:rPr>
          <w:rFonts w:ascii="Verdana" w:hAnsi="Verdana"/>
          <w:color w:val="757575"/>
          <w:sz w:val="18"/>
          <w:szCs w:val="18"/>
        </w:rPr>
        <w:t>rospectus or a trust agreement)</w:t>
      </w:r>
    </w:p>
    <w:p w14:paraId="563790BD" w14:textId="6F65AE95" w:rsidR="00CF4B3E" w:rsidRPr="006A6FFF" w:rsidRDefault="00CF4B3E" w:rsidP="006A6FFF">
      <w:pPr>
        <w:contextualSpacing/>
        <w:jc w:val="both"/>
        <w:rPr>
          <w:rFonts w:ascii="Verdana" w:hAnsi="Verdana"/>
          <w:color w:val="757575"/>
          <w:sz w:val="18"/>
          <w:szCs w:val="18"/>
        </w:rPr>
      </w:pPr>
      <w:r w:rsidRPr="006A6FFF">
        <w:rPr>
          <w:rFonts w:ascii="Verdana" w:hAnsi="Verdana"/>
          <w:b/>
          <w:color w:val="757575"/>
          <w:sz w:val="18"/>
          <w:szCs w:val="18"/>
        </w:rPr>
        <w:t>ADX</w:t>
      </w:r>
      <w:r w:rsidRPr="006A6FFF">
        <w:rPr>
          <w:rFonts w:ascii="Verdana" w:hAnsi="Verdana"/>
          <w:color w:val="757575"/>
          <w:sz w:val="18"/>
          <w:szCs w:val="18"/>
        </w:rPr>
        <w:t xml:space="preserve"> does not accept website prints outs and hence requires the investor documents issued on a letterhead - dul</w:t>
      </w:r>
      <w:r w:rsidR="006A6FFF">
        <w:rPr>
          <w:rFonts w:ascii="Verdana" w:hAnsi="Verdana"/>
          <w:color w:val="757575"/>
          <w:sz w:val="18"/>
          <w:szCs w:val="18"/>
        </w:rPr>
        <w:t xml:space="preserve">y signed by the regulatory body </w:t>
      </w:r>
      <w:r w:rsidRPr="006A6FFF">
        <w:rPr>
          <w:rFonts w:ascii="Verdana" w:hAnsi="Verdana"/>
          <w:color w:val="757575"/>
          <w:sz w:val="18"/>
          <w:szCs w:val="18"/>
        </w:rPr>
        <w:t>(Letter/ COR issued-duly signed by Canada Revenue Agency).</w:t>
      </w:r>
    </w:p>
    <w:p w14:paraId="36711316" w14:textId="77777777" w:rsidR="0001492B" w:rsidRDefault="0001492B" w:rsidP="00FA0081">
      <w:pPr>
        <w:spacing w:before="100" w:beforeAutospacing="1" w:after="100" w:afterAutospacing="1"/>
        <w:ind w:left="360"/>
        <w:contextualSpacing/>
        <w:jc w:val="both"/>
        <w:rPr>
          <w:rFonts w:ascii="Verdana" w:hAnsi="Verdana"/>
          <w:color w:val="808080"/>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292"/>
        <w:gridCol w:w="8553"/>
      </w:tblGrid>
      <w:tr w:rsidR="00744133" w:rsidRPr="00DB69BC" w14:paraId="563790CA" w14:textId="77777777" w:rsidTr="00935652">
        <w:trPr>
          <w:tblCellSpacing w:w="15" w:type="dxa"/>
        </w:trPr>
        <w:tc>
          <w:tcPr>
            <w:tcW w:w="0" w:type="auto"/>
          </w:tcPr>
          <w:p w14:paraId="563790C6" w14:textId="77777777" w:rsidR="00744133" w:rsidRDefault="00744133" w:rsidP="00935652">
            <w:pPr>
              <w:pStyle w:val="NormalWeb"/>
              <w:jc w:val="both"/>
              <w:rPr>
                <w:rFonts w:ascii="Verdana" w:hAnsi="Verdana"/>
                <w:sz w:val="18"/>
                <w:szCs w:val="18"/>
              </w:rPr>
            </w:pPr>
            <w:r>
              <w:rPr>
                <w:rFonts w:ascii="Verdana" w:hAnsi="Verdana"/>
                <w:b/>
                <w:bCs/>
                <w:sz w:val="18"/>
                <w:szCs w:val="18"/>
              </w:rPr>
              <w:t>Timing</w:t>
            </w:r>
          </w:p>
        </w:tc>
        <w:tc>
          <w:tcPr>
            <w:tcW w:w="0" w:type="auto"/>
          </w:tcPr>
          <w:p w14:paraId="563790C7" w14:textId="77777777" w:rsidR="00744133" w:rsidRDefault="00744133"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Pr>
                <w:rFonts w:ascii="Verdana" w:hAnsi="Verdana"/>
                <w:color w:val="757575"/>
                <w:sz w:val="18"/>
                <w:szCs w:val="18"/>
                <w:lang w:eastAsia="en-GB"/>
              </w:rPr>
              <w:t>3-5 business days</w:t>
            </w:r>
            <w:r w:rsidRPr="00A4461C">
              <w:rPr>
                <w:rFonts w:ascii="Verdana" w:hAnsi="Verdana"/>
                <w:color w:val="757575"/>
                <w:sz w:val="18"/>
                <w:szCs w:val="18"/>
                <w:lang w:eastAsia="en-GB"/>
              </w:rPr>
              <w:t xml:space="preserve"> post completion and acceptance of documents by the agent. </w:t>
            </w:r>
          </w:p>
          <w:p w14:paraId="563790C8" w14:textId="77777777" w:rsidR="00744133" w:rsidRDefault="00744133"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executed documents received from the client may be sent for further certification or legalization affecting the turnaround time for market application. </w:t>
            </w:r>
          </w:p>
          <w:p w14:paraId="563790C9" w14:textId="77777777" w:rsidR="00744133" w:rsidRPr="00D12E2C" w:rsidRDefault="00744133" w:rsidP="00935652">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The documents may also be subject to regulatory and KYC checks and additional documents may be requested by the agent/market authorities, which could potentially extend the normal processing time.</w:t>
            </w:r>
          </w:p>
        </w:tc>
      </w:tr>
      <w:tr w:rsidR="00744133" w14:paraId="563790CD" w14:textId="77777777" w:rsidTr="00935652">
        <w:trPr>
          <w:tblCellSpacing w:w="15" w:type="dxa"/>
        </w:trPr>
        <w:tc>
          <w:tcPr>
            <w:tcW w:w="0" w:type="auto"/>
          </w:tcPr>
          <w:p w14:paraId="563790CB" w14:textId="77777777" w:rsidR="00744133" w:rsidRDefault="00744133" w:rsidP="00935652">
            <w:pPr>
              <w:pStyle w:val="NormalWeb"/>
              <w:jc w:val="both"/>
              <w:rPr>
                <w:rFonts w:ascii="Verdana" w:hAnsi="Verdana"/>
                <w:sz w:val="18"/>
                <w:szCs w:val="18"/>
              </w:rPr>
            </w:pPr>
            <w:r>
              <w:rPr>
                <w:rFonts w:ascii="Verdana" w:hAnsi="Verdana"/>
                <w:b/>
                <w:bCs/>
                <w:sz w:val="18"/>
                <w:szCs w:val="18"/>
              </w:rPr>
              <w:t>Sub-Custodian</w:t>
            </w:r>
          </w:p>
        </w:tc>
        <w:tc>
          <w:tcPr>
            <w:tcW w:w="0" w:type="auto"/>
          </w:tcPr>
          <w:p w14:paraId="563790CC" w14:textId="6EAF3691" w:rsidR="00744133" w:rsidRPr="00D12E2C" w:rsidRDefault="00DA1538"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744133" w:rsidRPr="00744133">
              <w:rPr>
                <w:rFonts w:ascii="Verdana" w:hAnsi="Verdana"/>
                <w:color w:val="757575"/>
                <w:sz w:val="18"/>
                <w:szCs w:val="18"/>
                <w:lang w:eastAsia="en-GB"/>
              </w:rPr>
              <w:t>S</w:t>
            </w:r>
            <w:r w:rsidR="00744133" w:rsidRPr="00C47688">
              <w:rPr>
                <w:rFonts w:ascii="Verdana" w:hAnsi="Verdana"/>
                <w:color w:val="757575"/>
                <w:sz w:val="18"/>
                <w:szCs w:val="18"/>
                <w:lang w:eastAsia="en-GB"/>
              </w:rPr>
              <w:t xml:space="preserve"> has appointed STANDARD CHARTERED BANK – UAE via HUB SCB Dubai (SCBLAEADDIF) as our agent. Their role is to process the application, open, and manage the necessary accounts.</w:t>
            </w:r>
          </w:p>
        </w:tc>
      </w:tr>
      <w:tr w:rsidR="00744133" w:rsidRPr="00DB69BC" w14:paraId="563790D0" w14:textId="77777777" w:rsidTr="00935652">
        <w:trPr>
          <w:tblCellSpacing w:w="15" w:type="dxa"/>
        </w:trPr>
        <w:tc>
          <w:tcPr>
            <w:tcW w:w="0" w:type="auto"/>
          </w:tcPr>
          <w:p w14:paraId="563790CE" w14:textId="77777777" w:rsidR="00744133" w:rsidRDefault="00744133" w:rsidP="00935652">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563790CF" w14:textId="47D928AF" w:rsidR="00744133" w:rsidRPr="00D12E2C" w:rsidRDefault="006A6FFF" w:rsidP="00935652">
            <w:pPr>
              <w:pStyle w:val="NormalWeb"/>
              <w:jc w:val="both"/>
              <w:rPr>
                <w:rFonts w:ascii="Verdana" w:hAnsi="Verdana"/>
                <w:color w:val="757575"/>
                <w:sz w:val="18"/>
                <w:szCs w:val="18"/>
                <w:lang w:eastAsia="en-GB"/>
              </w:rPr>
            </w:pPr>
            <w:r>
              <w:rPr>
                <w:rFonts w:ascii="Verdana" w:hAnsi="Verdana"/>
                <w:color w:val="757575"/>
                <w:sz w:val="18"/>
                <w:szCs w:val="18"/>
                <w:lang w:eastAsia="en-GB"/>
              </w:rPr>
              <w:t>N/A</w:t>
            </w:r>
          </w:p>
        </w:tc>
      </w:tr>
    </w:tbl>
    <w:p w14:paraId="53D7C79D" w14:textId="77777777" w:rsidR="0001492B" w:rsidRDefault="0001492B" w:rsidP="00FA0081">
      <w:pPr>
        <w:spacing w:before="100" w:beforeAutospacing="1" w:after="100" w:afterAutospacing="1"/>
        <w:ind w:left="360"/>
        <w:contextualSpacing/>
        <w:jc w:val="both"/>
        <w:rPr>
          <w:rFonts w:ascii="Verdana" w:hAnsi="Verdana"/>
          <w:color w:val="808080"/>
          <w:sz w:val="18"/>
          <w:szCs w:val="18"/>
        </w:rPr>
      </w:pPr>
    </w:p>
    <w:p w14:paraId="346842F8" w14:textId="22460F67" w:rsidR="00DD10E5" w:rsidRDefault="00DD10E5">
      <w:pPr>
        <w:adjustRightInd/>
        <w:spacing w:before="0" w:after="200" w:line="276" w:lineRule="auto"/>
        <w:rPr>
          <w:rFonts w:ascii="Verdana" w:hAnsi="Verdana"/>
          <w:color w:val="808080"/>
          <w:sz w:val="18"/>
          <w:szCs w:val="18"/>
        </w:rPr>
      </w:pPr>
      <w:r>
        <w:rPr>
          <w:rFonts w:ascii="Verdana" w:hAnsi="Verdana"/>
          <w:color w:val="808080"/>
          <w:sz w:val="18"/>
          <w:szCs w:val="18"/>
        </w:rPr>
        <w:br w:type="page"/>
      </w:r>
    </w:p>
    <w:p w14:paraId="74C99E5C" w14:textId="77777777" w:rsidR="0001492B" w:rsidRDefault="0001492B" w:rsidP="00FA0081">
      <w:pPr>
        <w:spacing w:before="100" w:beforeAutospacing="1" w:after="100" w:afterAutospacing="1"/>
        <w:ind w:left="360"/>
        <w:contextualSpacing/>
        <w:jc w:val="both"/>
        <w:rPr>
          <w:rFonts w:ascii="Verdana" w:hAnsi="Verdana"/>
          <w:color w:val="808080"/>
          <w:sz w:val="18"/>
          <w:szCs w:val="18"/>
        </w:rPr>
      </w:pPr>
    </w:p>
    <w:p w14:paraId="563790D3" w14:textId="77777777" w:rsidR="00A4461C" w:rsidRPr="00A67CB1" w:rsidRDefault="00A4461C" w:rsidP="00FA0081">
      <w:pPr>
        <w:pStyle w:val="Heading3"/>
        <w:tabs>
          <w:tab w:val="center" w:pos="4877"/>
        </w:tabs>
        <w:jc w:val="both"/>
        <w:rPr>
          <w:sz w:val="25"/>
          <w:szCs w:val="25"/>
        </w:rPr>
      </w:pPr>
      <w:r w:rsidRPr="00A67CB1">
        <w:rPr>
          <w:sz w:val="25"/>
          <w:szCs w:val="25"/>
        </w:rPr>
        <w:t>Account Modification/Name change Requirements</w:t>
      </w:r>
    </w:p>
    <w:p w14:paraId="563790D4" w14:textId="77777777" w:rsidR="00A4461C" w:rsidRDefault="00A4461C" w:rsidP="00FA0081">
      <w:pPr>
        <w:tabs>
          <w:tab w:val="left" w:pos="2070"/>
        </w:tabs>
        <w:jc w:val="both"/>
        <w:rPr>
          <w:rFonts w:ascii="Verdana" w:hAnsi="Verdana"/>
          <w:b/>
          <w:bCs/>
          <w:color w:val="757575"/>
          <w:sz w:val="18"/>
          <w:szCs w:val="18"/>
          <w:lang w:eastAsia="en-GB"/>
        </w:rPr>
      </w:pPr>
      <w:r w:rsidRPr="00C457C6">
        <w:rPr>
          <w:rFonts w:ascii="Verdana" w:hAnsi="Verdana"/>
          <w:b/>
          <w:sz w:val="18"/>
          <w:szCs w:val="18"/>
        </w:rPr>
        <w:t xml:space="preserve">Documentation </w:t>
      </w:r>
      <w:r w:rsidR="00FA0081">
        <w:rPr>
          <w:rFonts w:ascii="Verdana" w:hAnsi="Verdana"/>
          <w:b/>
          <w:sz w:val="18"/>
          <w:szCs w:val="18"/>
        </w:rPr>
        <w:t xml:space="preserve">Required </w:t>
      </w:r>
      <w:r>
        <w:rPr>
          <w:rFonts w:ascii="Verdana" w:hAnsi="Verdana"/>
          <w:b/>
          <w:sz w:val="18"/>
          <w:szCs w:val="18"/>
        </w:rPr>
        <w:t>by the Agent</w:t>
      </w:r>
    </w:p>
    <w:p w14:paraId="3EE926DC" w14:textId="51233BE4" w:rsidR="00DD10E5" w:rsidRDefault="00DD10E5" w:rsidP="00FA0081">
      <w:pPr>
        <w:pStyle w:val="ListParagraph"/>
        <w:numPr>
          <w:ilvl w:val="0"/>
          <w:numId w:val="32"/>
        </w:numPr>
        <w:ind w:left="360"/>
        <w:jc w:val="both"/>
        <w:rPr>
          <w:rFonts w:ascii="Verdana" w:hAnsi="Verdana"/>
          <w:bCs/>
          <w:i/>
          <w:iCs/>
          <w:color w:val="757575"/>
          <w:sz w:val="18"/>
          <w:szCs w:val="18"/>
        </w:rPr>
      </w:pPr>
      <w:r w:rsidRPr="00DD10E5">
        <w:rPr>
          <w:rFonts w:ascii="Verdana" w:hAnsi="Verdana"/>
          <w:b/>
          <w:bCs/>
          <w:iCs/>
          <w:color w:val="757575"/>
          <w:sz w:val="18"/>
          <w:szCs w:val="18"/>
        </w:rPr>
        <w:t>POA in the new name</w:t>
      </w:r>
      <w:r>
        <w:rPr>
          <w:rFonts w:ascii="Verdana" w:hAnsi="Verdana"/>
          <w:bCs/>
          <w:i/>
          <w:iCs/>
          <w:color w:val="757575"/>
          <w:sz w:val="18"/>
          <w:szCs w:val="18"/>
        </w:rPr>
        <w:t xml:space="preserve"> – notarized and consularized</w:t>
      </w:r>
    </w:p>
    <w:p w14:paraId="12152B1A" w14:textId="6DE01770" w:rsidR="00DD10E5" w:rsidRPr="00DD10E5" w:rsidRDefault="00DD10E5" w:rsidP="00DD10E5">
      <w:pPr>
        <w:jc w:val="both"/>
        <w:rPr>
          <w:rFonts w:ascii="Verdana" w:hAnsi="Verdana"/>
          <w:bCs/>
          <w:i/>
          <w:iCs/>
          <w:color w:val="757575"/>
          <w:sz w:val="18"/>
          <w:szCs w:val="18"/>
        </w:rPr>
      </w:pPr>
      <w:r>
        <w:rPr>
          <w:rFonts w:ascii="Verdana" w:eastAsiaTheme="minorHAnsi" w:hAnsi="Verdana" w:cstheme="minorBidi"/>
          <w:szCs w:val="22"/>
          <w:lang w:eastAsia="en-US"/>
        </w:rPr>
        <w:object w:dxaOrig="1440" w:dyaOrig="1215" w14:anchorId="5E43E61F">
          <v:shape id="_x0000_i1026" type="#_x0000_t75" style="width:1in;height:61pt" o:ole="">
            <v:imagedata r:id="rId11" o:title=""/>
          </v:shape>
          <o:OLEObject Type="Embed" ProgID="Outlook.FileAttach" ShapeID="_x0000_i1026" DrawAspect="Icon" ObjectID="_1748267942" r:id="rId13"/>
        </w:object>
      </w:r>
    </w:p>
    <w:p w14:paraId="563790D5" w14:textId="723A1C82" w:rsidR="00FA0081" w:rsidRDefault="00FA0081" w:rsidP="00FA0081">
      <w:pPr>
        <w:pStyle w:val="ListParagraph"/>
        <w:numPr>
          <w:ilvl w:val="0"/>
          <w:numId w:val="32"/>
        </w:numPr>
        <w:ind w:left="360"/>
        <w:jc w:val="both"/>
        <w:rPr>
          <w:rFonts w:ascii="Verdana" w:hAnsi="Verdana"/>
          <w:bCs/>
          <w:i/>
          <w:iCs/>
          <w:color w:val="757575"/>
          <w:sz w:val="18"/>
          <w:szCs w:val="18"/>
        </w:rPr>
      </w:pPr>
      <w:r w:rsidRPr="00B708B1">
        <w:rPr>
          <w:rFonts w:ascii="Verdana" w:hAnsi="Verdana"/>
          <w:b/>
          <w:color w:val="757575"/>
          <w:sz w:val="18"/>
          <w:szCs w:val="18"/>
        </w:rPr>
        <w:t xml:space="preserve">Name change certificate </w:t>
      </w:r>
      <w:r>
        <w:rPr>
          <w:rFonts w:ascii="Verdana" w:hAnsi="Verdana"/>
          <w:b/>
          <w:color w:val="757575"/>
          <w:sz w:val="18"/>
          <w:szCs w:val="18"/>
        </w:rPr>
        <w:t>issued by the r</w:t>
      </w:r>
      <w:r w:rsidRPr="00F36616">
        <w:rPr>
          <w:rFonts w:ascii="Verdana" w:hAnsi="Verdana"/>
          <w:b/>
          <w:color w:val="757575"/>
          <w:sz w:val="18"/>
          <w:szCs w:val="18"/>
        </w:rPr>
        <w:t xml:space="preserve">egulator </w:t>
      </w:r>
      <w:r>
        <w:rPr>
          <w:rFonts w:ascii="Verdana" w:hAnsi="Verdana"/>
          <w:b/>
          <w:color w:val="757575"/>
          <w:sz w:val="18"/>
          <w:szCs w:val="18"/>
        </w:rPr>
        <w:t xml:space="preserve">with old &amp; new name </w:t>
      </w:r>
      <w:r w:rsidR="00DD10E5">
        <w:rPr>
          <w:rFonts w:ascii="Verdana" w:hAnsi="Verdana"/>
          <w:b/>
          <w:color w:val="757575"/>
          <w:sz w:val="18"/>
          <w:szCs w:val="18"/>
        </w:rPr>
        <w:t>–</w:t>
      </w:r>
      <w:r w:rsidRPr="00B708B1">
        <w:rPr>
          <w:rFonts w:ascii="Verdana" w:hAnsi="Verdana"/>
          <w:b/>
          <w:color w:val="757575"/>
          <w:sz w:val="18"/>
          <w:szCs w:val="18"/>
        </w:rPr>
        <w:t xml:space="preserve"> </w:t>
      </w:r>
      <w:r w:rsidR="00DD10E5">
        <w:rPr>
          <w:rFonts w:ascii="Verdana" w:hAnsi="Verdana"/>
          <w:bCs/>
          <w:i/>
          <w:iCs/>
          <w:color w:val="757575"/>
          <w:sz w:val="18"/>
          <w:szCs w:val="18"/>
        </w:rPr>
        <w:t>by email</w:t>
      </w:r>
    </w:p>
    <w:p w14:paraId="4449C513" w14:textId="77777777" w:rsidR="00DD10E5" w:rsidRDefault="00DD10E5">
      <w:pPr>
        <w:adjustRightInd/>
        <w:spacing w:before="0" w:after="200" w:line="276" w:lineRule="auto"/>
        <w:rPr>
          <w:rFonts w:ascii="Verdana" w:hAnsi="Verdana"/>
          <w:color w:val="808080"/>
          <w:sz w:val="18"/>
          <w:szCs w:val="18"/>
          <w:lang w:val="en-GB"/>
        </w:rPr>
      </w:pPr>
      <w:r>
        <w:rPr>
          <w:rFonts w:ascii="Verdana" w:hAnsi="Verdana"/>
          <w:color w:val="808080"/>
          <w:sz w:val="18"/>
          <w:szCs w:val="18"/>
          <w:lang w:val="en-GB"/>
        </w:rPr>
        <w:br w:type="page"/>
      </w:r>
    </w:p>
    <w:p w14:paraId="758884F0" w14:textId="52F25B89" w:rsidR="0001492B" w:rsidRDefault="0001492B" w:rsidP="00FA0081">
      <w:pPr>
        <w:spacing w:before="100" w:beforeAutospacing="1" w:after="100" w:afterAutospacing="1"/>
        <w:ind w:left="-90" w:right="-90"/>
        <w:jc w:val="both"/>
        <w:rPr>
          <w:rFonts w:ascii="Verdana" w:hAnsi="Verdana"/>
          <w:color w:val="808080"/>
          <w:sz w:val="18"/>
          <w:szCs w:val="18"/>
          <w:lang w:val="en-GB"/>
        </w:rPr>
      </w:pPr>
    </w:p>
    <w:p w14:paraId="563790D7" w14:textId="77777777" w:rsidR="00A4461C" w:rsidRPr="00A67CB1" w:rsidRDefault="00A4461C" w:rsidP="00FA0081">
      <w:pPr>
        <w:pStyle w:val="Heading3"/>
        <w:tabs>
          <w:tab w:val="center" w:pos="4877"/>
        </w:tabs>
        <w:jc w:val="both"/>
        <w:rPr>
          <w:sz w:val="25"/>
          <w:szCs w:val="25"/>
        </w:rPr>
      </w:pPr>
      <w:r w:rsidRPr="00A67CB1">
        <w:rPr>
          <w:sz w:val="25"/>
          <w:szCs w:val="25"/>
        </w:rPr>
        <w:t>Account Closure</w:t>
      </w:r>
    </w:p>
    <w:p w14:paraId="563790D8" w14:textId="5F58A8D3" w:rsidR="00A4461C" w:rsidRDefault="001F0C62" w:rsidP="00FA0081">
      <w:pPr>
        <w:jc w:val="both"/>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 xml:space="preserve">ocumentation required </w:t>
      </w:r>
      <w:r w:rsidR="00FA0081">
        <w:rPr>
          <w:rFonts w:ascii="Verdana" w:hAnsi="Verdana"/>
          <w:color w:val="757575"/>
          <w:sz w:val="18"/>
          <w:szCs w:val="18"/>
          <w:lang w:eastAsia="en-GB"/>
        </w:rPr>
        <w:t>however,</w:t>
      </w:r>
      <w:r w:rsidR="00A4461C">
        <w:rPr>
          <w:rFonts w:ascii="Verdana" w:hAnsi="Verdana"/>
          <w:color w:val="757575"/>
          <w:sz w:val="18"/>
          <w:szCs w:val="18"/>
          <w:lang w:eastAsia="en-GB"/>
        </w:rPr>
        <w:t xml:space="preserve"> client should always ensure t</w:t>
      </w:r>
      <w:r w:rsidR="00A4461C" w:rsidRPr="00042F42">
        <w:rPr>
          <w:rFonts w:ascii="Verdana" w:hAnsi="Verdana"/>
          <w:color w:val="757575"/>
          <w:sz w:val="18"/>
          <w:szCs w:val="18"/>
          <w:lang w:eastAsia="en-GB"/>
        </w:rPr>
        <w:t xml:space="preserve">here </w:t>
      </w:r>
      <w:r w:rsidR="00A4461C">
        <w:rPr>
          <w:rFonts w:ascii="Verdana" w:hAnsi="Verdana"/>
          <w:color w:val="757575"/>
          <w:sz w:val="18"/>
          <w:szCs w:val="18"/>
          <w:lang w:eastAsia="en-GB"/>
        </w:rPr>
        <w:t xml:space="preserve">are </w:t>
      </w:r>
      <w:r w:rsidR="00A4461C" w:rsidRPr="00042F42">
        <w:rPr>
          <w:rFonts w:ascii="Verdana" w:hAnsi="Verdana"/>
          <w:color w:val="757575"/>
          <w:sz w:val="18"/>
          <w:szCs w:val="18"/>
          <w:lang w:eastAsia="en-GB"/>
        </w:rPr>
        <w:t>no outstanding trades, corporate actions, fees and holdings</w:t>
      </w:r>
      <w:r w:rsidR="00A4461C">
        <w:rPr>
          <w:rFonts w:ascii="Verdana" w:hAnsi="Verdana"/>
          <w:color w:val="757575"/>
          <w:sz w:val="18"/>
          <w:szCs w:val="18"/>
          <w:lang w:eastAsia="en-GB"/>
        </w:rPr>
        <w:t xml:space="preserve"> prior to sending the closure instruction.</w:t>
      </w:r>
    </w:p>
    <w:p w14:paraId="563790D9" w14:textId="77777777" w:rsidR="00A4461C" w:rsidRDefault="00A4461C" w:rsidP="00FA0081">
      <w:pPr>
        <w:jc w:val="both"/>
        <w:rPr>
          <w:rFonts w:ascii="Verdana" w:hAnsi="Verdana"/>
          <w:color w:val="757575"/>
          <w:sz w:val="18"/>
          <w:szCs w:val="18"/>
          <w:lang w:eastAsia="en-GB"/>
        </w:rPr>
      </w:pPr>
    </w:p>
    <w:bookmarkEnd w:id="5"/>
    <w:bookmarkEnd w:id="6"/>
    <w:p w14:paraId="563790DA" w14:textId="77777777" w:rsidR="00B924A2" w:rsidRDefault="00B924A2" w:rsidP="00FA0081">
      <w:pPr>
        <w:pStyle w:val="BodyText"/>
        <w:jc w:val="both"/>
        <w:rPr>
          <w:lang w:eastAsia="en-US"/>
        </w:rPr>
      </w:pPr>
    </w:p>
    <w:p w14:paraId="563790DB" w14:textId="77777777" w:rsidR="00B924A2" w:rsidRPr="00B924A2" w:rsidRDefault="00B924A2" w:rsidP="00FA0081">
      <w:pPr>
        <w:pStyle w:val="BodyText"/>
        <w:jc w:val="both"/>
        <w:rPr>
          <w:lang w:eastAsia="en-US"/>
        </w:rPr>
      </w:pPr>
    </w:p>
    <w:p w14:paraId="563790DC" w14:textId="77777777" w:rsidR="00B924A2" w:rsidRPr="00B924A2" w:rsidRDefault="00B924A2" w:rsidP="00FA0081">
      <w:pPr>
        <w:pStyle w:val="BodyText"/>
        <w:jc w:val="both"/>
        <w:rPr>
          <w:lang w:eastAsia="en-US"/>
        </w:rPr>
      </w:pPr>
    </w:p>
    <w:bookmarkEnd w:id="2"/>
    <w:bookmarkEnd w:id="3"/>
    <w:p w14:paraId="563790DD" w14:textId="77777777" w:rsidR="00432B3C" w:rsidRPr="003C744E" w:rsidRDefault="00432B3C" w:rsidP="00FA0081">
      <w:pPr>
        <w:pStyle w:val="ListNumber"/>
        <w:jc w:val="both"/>
        <w:sectPr w:rsidR="00432B3C" w:rsidRPr="003C744E" w:rsidSect="00DD570C">
          <w:footerReference w:type="default" r:id="rId14"/>
          <w:headerReference w:type="first" r:id="rId15"/>
          <w:footerReference w:type="first" r:id="rId16"/>
          <w:pgSz w:w="11909" w:h="16834" w:code="9"/>
          <w:pgMar w:top="1077" w:right="1077" w:bottom="1077" w:left="1077" w:header="1080" w:footer="432" w:gutter="0"/>
          <w:pgNumType w:start="1"/>
          <w:cols w:space="720"/>
          <w:titlePg/>
          <w:docGrid w:linePitch="360"/>
        </w:sectPr>
      </w:pPr>
    </w:p>
    <w:p w14:paraId="563790DE" w14:textId="77777777" w:rsidR="00432B3C" w:rsidRPr="00DD570C" w:rsidRDefault="00432B3C" w:rsidP="00FA0081">
      <w:pPr>
        <w:pStyle w:val="TitleDisclaimer"/>
        <w:jc w:val="both"/>
      </w:pPr>
      <w:r w:rsidRPr="00DD570C">
        <w:lastRenderedPageBreak/>
        <w:t>Disclaimer</w:t>
      </w:r>
    </w:p>
    <w:p w14:paraId="563790E0" w14:textId="1C7E88AB" w:rsidR="00A67A57" w:rsidRDefault="00DA1538" w:rsidP="00FA0081">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7"/>
      <w:headerReference w:type="first" r:id="rId18"/>
      <w:footerReference w:type="first" r:id="rId19"/>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90E5" w14:textId="77777777" w:rsidR="002A1B9C" w:rsidRDefault="002A1B9C" w:rsidP="00432B3C">
      <w:pPr>
        <w:spacing w:before="0" w:after="0" w:line="240" w:lineRule="auto"/>
      </w:pPr>
      <w:r>
        <w:separator/>
      </w:r>
    </w:p>
  </w:endnote>
  <w:endnote w:type="continuationSeparator" w:id="0">
    <w:p w14:paraId="563790E6" w14:textId="77777777" w:rsidR="002A1B9C" w:rsidRDefault="002A1B9C"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90E7"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1F0C62">
      <w:rPr>
        <w:rStyle w:val="PageNumber"/>
        <w:b/>
        <w:caps w:val="0"/>
      </w:rPr>
      <w:t>3</w:t>
    </w:r>
    <w:r w:rsidRPr="009B18F0">
      <w:rPr>
        <w:rStyle w:val="PageNumber"/>
        <w:b/>
        <w:caps w:val="0"/>
      </w:rPr>
      <w:fldChar w:fldCharType="end"/>
    </w:r>
    <w:r>
      <w:t xml:space="preserve">  |  </w:t>
    </w:r>
    <w:r w:rsidR="001F0C62">
      <w:fldChar w:fldCharType="begin"/>
    </w:r>
    <w:r w:rsidR="001F0C62">
      <w:instrText xml:space="preserve"> STYLEREF  "Heading 1 + Sub-Heading"  \* MERGEFORMAT </w:instrText>
    </w:r>
    <w:r w:rsidR="001F0C62">
      <w:fldChar w:fldCharType="separate"/>
    </w:r>
    <w:r w:rsidR="001F0C62">
      <w:t>FII Market Entry Requirements for United Arab Emirates (Abu Dhabi (ADX), Dubai (DFM) and Nasdaq Dubai Limited (NDL))</w:t>
    </w:r>
    <w:r w:rsidR="001F0C62">
      <w:fldChar w:fldCharType="end"/>
    </w:r>
    <w:r>
      <w:rPr>
        <w:snapToGrid/>
        <w:lang w:eastAsia="en-US"/>
      </w:rPr>
      <mc:AlternateContent>
        <mc:Choice Requires="wps">
          <w:drawing>
            <wp:anchor distT="0" distB="0" distL="114300" distR="114300" simplePos="0" relativeHeight="251660288" behindDoc="0" locked="0" layoutInCell="1" allowOverlap="1" wp14:anchorId="563790ED" wp14:editId="563790EE">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563790F4" w14:textId="77777777">
                            <w:trPr>
                              <w:trHeight w:hRule="exact" w:val="547"/>
                            </w:trPr>
                            <w:tc>
                              <w:tcPr>
                                <w:tcW w:w="3096" w:type="dxa"/>
                              </w:tcPr>
                              <w:p w14:paraId="563790F3" w14:textId="77777777" w:rsidR="000720EB" w:rsidRDefault="00EA4A1F" w:rsidP="00F25609">
                                <w:pPr>
                                  <w:pStyle w:val="Draft"/>
                                </w:pPr>
                                <w:r>
                                  <w:t>Draft</w:t>
                                </w:r>
                              </w:p>
                            </w:tc>
                          </w:tr>
                        </w:tbl>
                        <w:p w14:paraId="563790F5" w14:textId="77777777" w:rsidR="000720EB" w:rsidRDefault="001F0C62"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90ED"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563790F4" w14:textId="77777777">
                      <w:trPr>
                        <w:trHeight w:hRule="exact" w:val="547"/>
                      </w:trPr>
                      <w:tc>
                        <w:tcPr>
                          <w:tcW w:w="3096" w:type="dxa"/>
                        </w:tcPr>
                        <w:p w14:paraId="563790F3" w14:textId="77777777" w:rsidR="000720EB" w:rsidRDefault="00EA4A1F" w:rsidP="00F25609">
                          <w:pPr>
                            <w:pStyle w:val="Draft"/>
                          </w:pPr>
                          <w:r>
                            <w:t>Draft</w:t>
                          </w:r>
                        </w:p>
                      </w:tc>
                    </w:tr>
                  </w:tbl>
                  <w:p w14:paraId="563790F5" w14:textId="77777777" w:rsidR="000720EB" w:rsidRDefault="001F0C62"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90E9"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1F0C62">
      <w:rPr>
        <w:rStyle w:val="PageNumber"/>
        <w:b/>
      </w:rPr>
      <w:t>1</w:t>
    </w:r>
    <w:r w:rsidRPr="00DD570C">
      <w:rPr>
        <w:rStyle w:val="PageNumber"/>
        <w:b/>
      </w:rPr>
      <w:fldChar w:fldCharType="end"/>
    </w:r>
    <w:r w:rsidRPr="00B0308B">
      <w:t xml:space="preserve">  |  </w:t>
    </w:r>
    <w:fldSimple w:instr=" STYLEREF  &quot;Heading 1 + Sub-Heading&quot;  \* MERGEFORMAT ">
      <w:r w:rsidR="001F0C62">
        <w:t>FII Market Entry Requirements for United Arab Emirates (Abu Dhabi (ADX), Dubai (DFM) and Nasdaq Dubai Limited (NDL))</w:t>
      </w:r>
    </w:fldSimple>
    <w:r>
      <w:rPr>
        <w:snapToGrid/>
        <w:lang w:eastAsia="en-US"/>
      </w:rPr>
      <mc:AlternateContent>
        <mc:Choice Requires="wps">
          <w:drawing>
            <wp:anchor distT="0" distB="0" distL="114300" distR="114300" simplePos="0" relativeHeight="251659264" behindDoc="0" locked="0" layoutInCell="1" allowOverlap="1" wp14:anchorId="563790F1" wp14:editId="563790F2">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563790F7" w14:textId="77777777">
                            <w:trPr>
                              <w:trHeight w:hRule="exact" w:val="547"/>
                            </w:trPr>
                            <w:tc>
                              <w:tcPr>
                                <w:tcW w:w="3096" w:type="dxa"/>
                              </w:tcPr>
                              <w:p w14:paraId="563790F6" w14:textId="77777777" w:rsidR="009C5B88" w:rsidRDefault="00EA4A1F" w:rsidP="00F25609">
                                <w:pPr>
                                  <w:pStyle w:val="Draft"/>
                                </w:pPr>
                                <w:r>
                                  <w:t>Draft</w:t>
                                </w:r>
                              </w:p>
                            </w:tc>
                          </w:tr>
                        </w:tbl>
                        <w:p w14:paraId="563790F8" w14:textId="77777777" w:rsidR="009C5B88" w:rsidRDefault="001F0C62"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90F1"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563790F7" w14:textId="77777777">
                      <w:trPr>
                        <w:trHeight w:hRule="exact" w:val="547"/>
                      </w:trPr>
                      <w:tc>
                        <w:tcPr>
                          <w:tcW w:w="3096" w:type="dxa"/>
                        </w:tcPr>
                        <w:p w14:paraId="563790F6" w14:textId="77777777" w:rsidR="009C5B88" w:rsidRDefault="00EA4A1F" w:rsidP="00F25609">
                          <w:pPr>
                            <w:pStyle w:val="Draft"/>
                          </w:pPr>
                          <w:r>
                            <w:t>Draft</w:t>
                          </w:r>
                        </w:p>
                      </w:tc>
                    </w:tr>
                  </w:tbl>
                  <w:p w14:paraId="563790F8" w14:textId="77777777" w:rsidR="009C5B88" w:rsidRDefault="001F0C62"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90EC" w14:textId="3E26AC11" w:rsidR="00745241" w:rsidRPr="00B0308B" w:rsidRDefault="00DA1538"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90E3" w14:textId="77777777" w:rsidR="002A1B9C" w:rsidRDefault="002A1B9C" w:rsidP="00432B3C">
      <w:pPr>
        <w:spacing w:before="0" w:after="0" w:line="240" w:lineRule="auto"/>
      </w:pPr>
      <w:r>
        <w:separator/>
      </w:r>
    </w:p>
  </w:footnote>
  <w:footnote w:type="continuationSeparator" w:id="0">
    <w:p w14:paraId="563790E4" w14:textId="77777777" w:rsidR="002A1B9C" w:rsidRDefault="002A1B9C"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90E8" w14:textId="1B3469B9" w:rsidR="007D7938" w:rsidRPr="00D24DF2" w:rsidRDefault="00DA1538" w:rsidP="00AE6A20">
    <w:pPr>
      <w:spacing w:before="0" w:after="1080"/>
    </w:pPr>
    <w:r>
      <w:rPr>
        <w:noProof/>
        <w:lang w:eastAsia="en-US"/>
      </w:rPr>
      <w:drawing>
        <wp:inline distT="0" distB="0" distL="0" distR="0" wp14:anchorId="44C89534" wp14:editId="5E10D22B">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90EA" w14:textId="77777777" w:rsidR="00745241" w:rsidRDefault="001F0C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790EB" w14:textId="77777777" w:rsidR="00745241" w:rsidRPr="00D24DF2" w:rsidRDefault="001F0C62"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7"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2"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F270D"/>
    <w:multiLevelType w:val="hybridMultilevel"/>
    <w:tmpl w:val="0DC0052C"/>
    <w:lvl w:ilvl="0" w:tplc="A12ED008">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3"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6"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27"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8"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28"/>
  </w:num>
  <w:num w:numId="4">
    <w:abstractNumId w:val="12"/>
  </w:num>
  <w:num w:numId="5">
    <w:abstractNumId w:val="5"/>
  </w:num>
  <w:num w:numId="6">
    <w:abstractNumId w:val="26"/>
  </w:num>
  <w:num w:numId="7">
    <w:abstractNumId w:val="20"/>
  </w:num>
  <w:num w:numId="8">
    <w:abstractNumId w:val="14"/>
  </w:num>
  <w:num w:numId="9">
    <w:abstractNumId w:val="27"/>
  </w:num>
  <w:num w:numId="10">
    <w:abstractNumId w:val="6"/>
  </w:num>
  <w:num w:numId="11">
    <w:abstractNumId w:val="11"/>
  </w:num>
  <w:num w:numId="12">
    <w:abstractNumId w:val="4"/>
  </w:num>
  <w:num w:numId="13">
    <w:abstractNumId w:val="3"/>
  </w:num>
  <w:num w:numId="14">
    <w:abstractNumId w:val="7"/>
  </w:num>
  <w:num w:numId="15">
    <w:abstractNumId w:val="2"/>
  </w:num>
  <w:num w:numId="16">
    <w:abstractNumId w:val="1"/>
  </w:num>
  <w:num w:numId="17">
    <w:abstractNumId w:val="0"/>
  </w:num>
  <w:num w:numId="18">
    <w:abstractNumId w:val="23"/>
  </w:num>
  <w:num w:numId="19">
    <w:abstractNumId w:val="24"/>
  </w:num>
  <w:num w:numId="20">
    <w:abstractNumId w:val="10"/>
  </w:num>
  <w:num w:numId="21">
    <w:abstractNumId w:val="17"/>
    <w:lvlOverride w:ilvl="0">
      <w:startOverride w:val="1"/>
    </w:lvlOverride>
  </w:num>
  <w:num w:numId="22">
    <w:abstractNumId w:val="25"/>
    <w:lvlOverride w:ilvl="0">
      <w:startOverride w:val="1"/>
    </w:lvlOverride>
  </w:num>
  <w:num w:numId="23">
    <w:abstractNumId w:val="30"/>
  </w:num>
  <w:num w:numId="24">
    <w:abstractNumId w:val="9"/>
  </w:num>
  <w:num w:numId="25">
    <w:abstractNumId w:val="31"/>
  </w:num>
  <w:num w:numId="26">
    <w:abstractNumId w:val="22"/>
  </w:num>
  <w:num w:numId="27">
    <w:abstractNumId w:val="15"/>
  </w:num>
  <w:num w:numId="28">
    <w:abstractNumId w:val="21"/>
  </w:num>
  <w:num w:numId="29">
    <w:abstractNumId w:val="18"/>
  </w:num>
  <w:num w:numId="30">
    <w:abstractNumId w:val="8"/>
  </w:num>
  <w:num w:numId="31">
    <w:abstractNumId w:val="19"/>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9C"/>
    <w:rsid w:val="0001492B"/>
    <w:rsid w:val="00033D4F"/>
    <w:rsid w:val="00042BCB"/>
    <w:rsid w:val="000519C5"/>
    <w:rsid w:val="000708CB"/>
    <w:rsid w:val="0009645C"/>
    <w:rsid w:val="000D3EDC"/>
    <w:rsid w:val="000D4C29"/>
    <w:rsid w:val="000E60F6"/>
    <w:rsid w:val="00113A07"/>
    <w:rsid w:val="00167968"/>
    <w:rsid w:val="001B06F9"/>
    <w:rsid w:val="001F0C62"/>
    <w:rsid w:val="00224D6A"/>
    <w:rsid w:val="00286A84"/>
    <w:rsid w:val="002A1B9C"/>
    <w:rsid w:val="002B7E7F"/>
    <w:rsid w:val="002D4E31"/>
    <w:rsid w:val="00303137"/>
    <w:rsid w:val="00355B30"/>
    <w:rsid w:val="00364BD5"/>
    <w:rsid w:val="00432B3C"/>
    <w:rsid w:val="004555C7"/>
    <w:rsid w:val="0048122A"/>
    <w:rsid w:val="004D7543"/>
    <w:rsid w:val="00556460"/>
    <w:rsid w:val="00581299"/>
    <w:rsid w:val="005C490A"/>
    <w:rsid w:val="00617A84"/>
    <w:rsid w:val="00662ECA"/>
    <w:rsid w:val="006A6FFF"/>
    <w:rsid w:val="00744133"/>
    <w:rsid w:val="00784EAC"/>
    <w:rsid w:val="00792A41"/>
    <w:rsid w:val="007A1C32"/>
    <w:rsid w:val="007D49AB"/>
    <w:rsid w:val="00816EAA"/>
    <w:rsid w:val="00820988"/>
    <w:rsid w:val="00822F93"/>
    <w:rsid w:val="00862289"/>
    <w:rsid w:val="008A1B87"/>
    <w:rsid w:val="008A3164"/>
    <w:rsid w:val="0096410B"/>
    <w:rsid w:val="00965961"/>
    <w:rsid w:val="009B131A"/>
    <w:rsid w:val="009B473C"/>
    <w:rsid w:val="009D4A71"/>
    <w:rsid w:val="00A00098"/>
    <w:rsid w:val="00A01375"/>
    <w:rsid w:val="00A04AF0"/>
    <w:rsid w:val="00A16747"/>
    <w:rsid w:val="00A4461C"/>
    <w:rsid w:val="00A71A4F"/>
    <w:rsid w:val="00A93915"/>
    <w:rsid w:val="00AA3AB9"/>
    <w:rsid w:val="00AA6A62"/>
    <w:rsid w:val="00B146BC"/>
    <w:rsid w:val="00B23F58"/>
    <w:rsid w:val="00B3178B"/>
    <w:rsid w:val="00B924A2"/>
    <w:rsid w:val="00B96DBC"/>
    <w:rsid w:val="00BA436B"/>
    <w:rsid w:val="00C042E5"/>
    <w:rsid w:val="00C3522E"/>
    <w:rsid w:val="00C47688"/>
    <w:rsid w:val="00C909B5"/>
    <w:rsid w:val="00CD1C37"/>
    <w:rsid w:val="00CF4B3E"/>
    <w:rsid w:val="00D5108C"/>
    <w:rsid w:val="00D81B4E"/>
    <w:rsid w:val="00DA1538"/>
    <w:rsid w:val="00DB5A6F"/>
    <w:rsid w:val="00DD10E5"/>
    <w:rsid w:val="00DD6A4B"/>
    <w:rsid w:val="00E40E99"/>
    <w:rsid w:val="00E4777F"/>
    <w:rsid w:val="00EA4A1F"/>
    <w:rsid w:val="00EB69A3"/>
    <w:rsid w:val="00EE344B"/>
    <w:rsid w:val="00EF33E7"/>
    <w:rsid w:val="00F13CD4"/>
    <w:rsid w:val="00F3280F"/>
    <w:rsid w:val="00F66CF1"/>
    <w:rsid w:val="00FA0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379073"/>
  <w15:docId w15:val="{313F4D99-F53A-4096-A996-E853D9DD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32236">
      <w:bodyDiv w:val="1"/>
      <w:marLeft w:val="0"/>
      <w:marRight w:val="0"/>
      <w:marTop w:val="0"/>
      <w:marBottom w:val="0"/>
      <w:divBdr>
        <w:top w:val="none" w:sz="0" w:space="0" w:color="auto"/>
        <w:left w:val="none" w:sz="0" w:space="0" w:color="auto"/>
        <w:bottom w:val="none" w:sz="0" w:space="0" w:color="auto"/>
        <w:right w:val="none" w:sz="0" w:space="0" w:color="auto"/>
      </w:divBdr>
    </w:div>
    <w:div w:id="19282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nasdaqdubai.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41EB1-B247-4B00-BD5E-4BE45EF176B8}">
  <ds:schemaRefs>
    <ds:schemaRef ds:uri="http://schemas.microsoft.com/sharepoint/v3/contenttype/forms"/>
  </ds:schemaRefs>
</ds:datastoreItem>
</file>

<file path=customXml/itemProps2.xml><?xml version="1.0" encoding="utf-8"?>
<ds:datastoreItem xmlns:ds="http://schemas.openxmlformats.org/officeDocument/2006/customXml" ds:itemID="{FD65B7E3-7DF2-4CC9-A5E9-ED47F2128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FCEDDE-BFE1-467B-B6A9-641A70AAA82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4</cp:revision>
  <dcterms:created xsi:type="dcterms:W3CDTF">2021-10-12T13:22:00Z</dcterms:created>
  <dcterms:modified xsi:type="dcterms:W3CDTF">2023-06-14T20:59:00Z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7" name="_NewReviewCycle">
    <vt:lpwstr/>
  </property>
</Properties>
</file>