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F5D80" w14:textId="77777777" w:rsidR="00432B3C" w:rsidRPr="00DD570C" w:rsidRDefault="00A4461C" w:rsidP="005B0A25">
      <w:pPr>
        <w:pStyle w:val="Heading1Sub-Heading"/>
        <w:jc w:val="both"/>
      </w:pPr>
      <w:bookmarkStart w:id="0" w:name="_Toc328144057"/>
      <w:bookmarkStart w:id="1" w:name="_Toc336594671"/>
      <w:bookmarkStart w:id="2" w:name="_Toc328144059"/>
      <w:bookmarkStart w:id="3" w:name="_Toc336594674"/>
      <w:r w:rsidRPr="00A4461C">
        <w:t>FII Marke</w:t>
      </w:r>
      <w:r w:rsidRPr="00B75DF2">
        <w:t>t</w:t>
      </w:r>
      <w:r w:rsidRPr="00A4461C">
        <w:t xml:space="preserve"> Entry Requirements for </w:t>
      </w:r>
      <w:r w:rsidR="0011714C">
        <w:t>Turkey</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65"/>
        <w:gridCol w:w="8580"/>
      </w:tblGrid>
      <w:tr w:rsidR="0011714C" w14:paraId="5C5F5D84" w14:textId="77777777" w:rsidTr="006128CB">
        <w:trPr>
          <w:tblCellSpacing w:w="15" w:type="dxa"/>
        </w:trPr>
        <w:tc>
          <w:tcPr>
            <w:tcW w:w="0" w:type="auto"/>
          </w:tcPr>
          <w:bookmarkEnd w:id="0"/>
          <w:bookmarkEnd w:id="1"/>
          <w:p w14:paraId="5C5F5D81" w14:textId="77777777" w:rsidR="0011714C" w:rsidRDefault="0011714C" w:rsidP="005B0A25">
            <w:pPr>
              <w:pStyle w:val="NormalWeb"/>
              <w:jc w:val="both"/>
              <w:rPr>
                <w:rFonts w:ascii="Verdana" w:hAnsi="Verdana"/>
                <w:sz w:val="18"/>
                <w:szCs w:val="18"/>
              </w:rPr>
            </w:pPr>
            <w:r>
              <w:rPr>
                <w:rFonts w:ascii="Verdana" w:hAnsi="Verdana"/>
                <w:b/>
                <w:bCs/>
                <w:sz w:val="18"/>
                <w:szCs w:val="18"/>
              </w:rPr>
              <w:t>Important</w:t>
            </w:r>
          </w:p>
        </w:tc>
        <w:tc>
          <w:tcPr>
            <w:tcW w:w="0" w:type="auto"/>
          </w:tcPr>
          <w:p w14:paraId="5C5F5D82" w14:textId="77777777" w:rsidR="0011714C" w:rsidRPr="0011714C" w:rsidRDefault="0011714C" w:rsidP="005B0A25">
            <w:pPr>
              <w:pStyle w:val="NormalWeb"/>
              <w:jc w:val="both"/>
              <w:rPr>
                <w:rFonts w:ascii="Verdana" w:hAnsi="Verdana"/>
                <w:color w:val="757575"/>
                <w:sz w:val="18"/>
                <w:szCs w:val="18"/>
              </w:rPr>
            </w:pPr>
            <w:r w:rsidRPr="0011714C">
              <w:rPr>
                <w:rFonts w:ascii="Verdana" w:hAnsi="Verdana"/>
                <w:color w:val="757575"/>
                <w:sz w:val="18"/>
                <w:szCs w:val="18"/>
              </w:rPr>
              <w:t>Given the complexities in Turkish taxation, FIIs should obtain their own tax advice before entering this market. Prior to any application, clients must also confirm if they already have a local Turkish tax ID.</w:t>
            </w:r>
          </w:p>
          <w:p w14:paraId="5C5F5D83" w14:textId="77777777" w:rsidR="0011714C" w:rsidRDefault="0011714C" w:rsidP="005B0A25">
            <w:pPr>
              <w:pStyle w:val="NormalWeb"/>
              <w:jc w:val="both"/>
              <w:rPr>
                <w:rFonts w:ascii="Verdana" w:hAnsi="Verdana"/>
                <w:sz w:val="18"/>
                <w:szCs w:val="18"/>
              </w:rPr>
            </w:pPr>
            <w:r w:rsidRPr="0011714C">
              <w:rPr>
                <w:rFonts w:ascii="Verdana" w:hAnsi="Verdana"/>
                <w:color w:val="757575"/>
                <w:sz w:val="18"/>
                <w:szCs w:val="18"/>
              </w:rPr>
              <w:t>Note: As part of the FII account opening process all documentation must be in exactly the same investor name and on the investor's letterhead where appropriate.</w:t>
            </w:r>
          </w:p>
        </w:tc>
      </w:tr>
      <w:tr w:rsidR="0011714C" w14:paraId="5C5F5D88" w14:textId="77777777" w:rsidTr="006128CB">
        <w:trPr>
          <w:tblCellSpacing w:w="15" w:type="dxa"/>
        </w:trPr>
        <w:tc>
          <w:tcPr>
            <w:tcW w:w="0" w:type="auto"/>
          </w:tcPr>
          <w:p w14:paraId="5C5F5D85" w14:textId="77777777" w:rsidR="0011714C" w:rsidRPr="005B0A25" w:rsidRDefault="0011714C" w:rsidP="005B0A25">
            <w:pPr>
              <w:jc w:val="both"/>
              <w:rPr>
                <w:rFonts w:ascii="Verdana" w:hAnsi="Verdana"/>
                <w:b/>
                <w:bCs/>
                <w:sz w:val="18"/>
                <w:szCs w:val="18"/>
              </w:rPr>
            </w:pPr>
            <w:r w:rsidRPr="005B0A25">
              <w:rPr>
                <w:rFonts w:ascii="Verdana" w:hAnsi="Verdana"/>
                <w:b/>
                <w:bCs/>
                <w:sz w:val="18"/>
                <w:szCs w:val="18"/>
              </w:rPr>
              <w:t xml:space="preserve">Fees </w:t>
            </w:r>
          </w:p>
        </w:tc>
        <w:tc>
          <w:tcPr>
            <w:tcW w:w="0" w:type="auto"/>
          </w:tcPr>
          <w:p w14:paraId="5C5F5D86" w14:textId="77777777" w:rsidR="0011714C" w:rsidRDefault="0011714C" w:rsidP="005B0A25">
            <w:pPr>
              <w:numPr>
                <w:ilvl w:val="0"/>
                <w:numId w:val="32"/>
              </w:numPr>
              <w:adjustRightInd/>
              <w:spacing w:before="100" w:beforeAutospacing="1" w:after="100" w:afterAutospacing="1"/>
              <w:jc w:val="both"/>
              <w:rPr>
                <w:rFonts w:ascii="Verdana" w:hAnsi="Verdana"/>
                <w:color w:val="757575"/>
                <w:sz w:val="18"/>
                <w:szCs w:val="18"/>
              </w:rPr>
            </w:pPr>
            <w:r>
              <w:rPr>
                <w:rFonts w:ascii="Verdana" w:hAnsi="Verdana"/>
                <w:color w:val="757575"/>
                <w:sz w:val="18"/>
                <w:szCs w:val="18"/>
              </w:rPr>
              <w:t xml:space="preserve">A fee of </w:t>
            </w:r>
            <w:r w:rsidR="00121264">
              <w:rPr>
                <w:rFonts w:ascii="Verdana" w:hAnsi="Verdana"/>
                <w:b/>
                <w:bCs/>
                <w:color w:val="757575"/>
                <w:sz w:val="18"/>
                <w:szCs w:val="18"/>
              </w:rPr>
              <w:t>USD</w:t>
            </w:r>
            <w:r>
              <w:rPr>
                <w:rFonts w:ascii="Verdana" w:hAnsi="Verdana"/>
                <w:b/>
                <w:bCs/>
                <w:color w:val="757575"/>
                <w:sz w:val="18"/>
                <w:szCs w:val="18"/>
              </w:rPr>
              <w:t>105</w:t>
            </w:r>
            <w:r>
              <w:rPr>
                <w:rFonts w:ascii="Verdana" w:hAnsi="Verdana"/>
                <w:color w:val="757575"/>
                <w:sz w:val="18"/>
                <w:szCs w:val="18"/>
              </w:rPr>
              <w:t xml:space="preserve"> is charged by our agent for the issuance of the local tax ID. </w:t>
            </w:r>
          </w:p>
          <w:p w14:paraId="5C5F5D87" w14:textId="77777777" w:rsidR="0011714C" w:rsidRDefault="0011714C" w:rsidP="005B0A25">
            <w:pPr>
              <w:numPr>
                <w:ilvl w:val="0"/>
                <w:numId w:val="32"/>
              </w:numPr>
              <w:adjustRightInd/>
              <w:spacing w:before="100" w:beforeAutospacing="1" w:after="100" w:afterAutospacing="1"/>
              <w:jc w:val="both"/>
              <w:rPr>
                <w:rFonts w:ascii="Verdana" w:hAnsi="Verdana"/>
                <w:color w:val="757575"/>
                <w:sz w:val="18"/>
                <w:szCs w:val="18"/>
              </w:rPr>
            </w:pPr>
            <w:r>
              <w:rPr>
                <w:rFonts w:ascii="Verdana" w:hAnsi="Verdana"/>
                <w:color w:val="757575"/>
                <w:sz w:val="18"/>
                <w:szCs w:val="18"/>
              </w:rPr>
              <w:t xml:space="preserve">A fee of </w:t>
            </w:r>
            <w:r w:rsidR="00121264">
              <w:rPr>
                <w:rFonts w:ascii="Verdana" w:hAnsi="Verdana"/>
                <w:b/>
                <w:color w:val="757575"/>
                <w:sz w:val="18"/>
                <w:szCs w:val="18"/>
              </w:rPr>
              <w:t>USD</w:t>
            </w:r>
            <w:r w:rsidRPr="00982210">
              <w:rPr>
                <w:rFonts w:ascii="Verdana" w:hAnsi="Verdana"/>
                <w:b/>
                <w:color w:val="757575"/>
                <w:sz w:val="18"/>
                <w:szCs w:val="18"/>
              </w:rPr>
              <w:t>105</w:t>
            </w:r>
            <w:r>
              <w:rPr>
                <w:rFonts w:ascii="Verdana" w:hAnsi="Verdana"/>
                <w:color w:val="757575"/>
                <w:sz w:val="18"/>
                <w:szCs w:val="18"/>
              </w:rPr>
              <w:t xml:space="preserve"> is charged by our agent for the opening of the account</w:t>
            </w:r>
          </w:p>
        </w:tc>
      </w:tr>
      <w:tr w:rsidR="0011714C" w14:paraId="5C5F5D97" w14:textId="77777777" w:rsidTr="006128CB">
        <w:trPr>
          <w:tblCellSpacing w:w="15" w:type="dxa"/>
        </w:trPr>
        <w:tc>
          <w:tcPr>
            <w:tcW w:w="0" w:type="auto"/>
          </w:tcPr>
          <w:p w14:paraId="5C5F5D92" w14:textId="5AC8954E" w:rsidR="005B0A25" w:rsidRPr="005B0A25" w:rsidRDefault="00211A6B" w:rsidP="005B0A25">
            <w:pPr>
              <w:jc w:val="both"/>
              <w:rPr>
                <w:rFonts w:ascii="Verdana" w:hAnsi="Verdana"/>
                <w:b/>
                <w:bCs/>
                <w:sz w:val="18"/>
                <w:szCs w:val="18"/>
              </w:rPr>
            </w:pPr>
            <w:r>
              <w:rPr>
                <w:rFonts w:ascii="Verdana" w:hAnsi="Verdana"/>
                <w:b/>
                <w:bCs/>
                <w:sz w:val="18"/>
                <w:szCs w:val="18"/>
              </w:rPr>
              <w:t>Tax Consultant</w:t>
            </w:r>
          </w:p>
        </w:tc>
        <w:tc>
          <w:tcPr>
            <w:tcW w:w="0" w:type="auto"/>
          </w:tcPr>
          <w:p w14:paraId="5C5F5D93" w14:textId="77777777" w:rsidR="0011714C" w:rsidRDefault="0011714C" w:rsidP="005B0A25">
            <w:pPr>
              <w:jc w:val="both"/>
              <w:rPr>
                <w:rFonts w:ascii="Verdana" w:hAnsi="Verdana"/>
                <w:color w:val="757575"/>
                <w:sz w:val="18"/>
                <w:szCs w:val="18"/>
              </w:rPr>
            </w:pPr>
            <w:r>
              <w:rPr>
                <w:rFonts w:ascii="Verdana" w:hAnsi="Verdana"/>
                <w:color w:val="757575"/>
                <w:sz w:val="18"/>
                <w:szCs w:val="18"/>
              </w:rPr>
              <w:t xml:space="preserve">Citibank Istanbul act as the client tax representative (i.e. Permanent Representative) for all active accounts opened prior to 1 January 2006. For accounts opened after the 1 January 2006, Citibank will no longer act as Permanent Representative and investors should therefore ask for legal advice before investing in </w:t>
            </w:r>
            <w:smartTag w:uri="urn:schemas-microsoft-com:office:smarttags" w:element="country-region">
              <w:smartTag w:uri="urn:schemas-microsoft-com:office:smarttags" w:element="place">
                <w:r>
                  <w:rPr>
                    <w:rFonts w:ascii="Verdana" w:hAnsi="Verdana"/>
                    <w:color w:val="757575"/>
                    <w:sz w:val="18"/>
                    <w:szCs w:val="18"/>
                  </w:rPr>
                  <w:t>Turkey</w:t>
                </w:r>
              </w:smartTag>
            </w:smartTag>
            <w:r>
              <w:rPr>
                <w:rFonts w:ascii="Verdana" w:hAnsi="Verdana"/>
                <w:color w:val="757575"/>
                <w:sz w:val="18"/>
                <w:szCs w:val="18"/>
              </w:rPr>
              <w:t xml:space="preserve"> in order to be aware of their tax responsibilities. Note also that foreign investors opening new securities account or existing investors who no longer have a Non Resident Investment Fund status (NRIF), should carefully consider the impact Corporate Tax on capital gains could have and are advised to contact a local tax advisory firm and local tax accounting firm, to ensure that they comply with the local laws and regulations. (An indicative list of these firms is attached)</w:t>
            </w:r>
          </w:p>
          <w:bookmarkStart w:id="4" w:name="_MON_1407315445"/>
          <w:bookmarkEnd w:id="4"/>
          <w:bookmarkStart w:id="5" w:name="_MON_1318328413"/>
          <w:bookmarkEnd w:id="5"/>
          <w:p w14:paraId="5C5F5D96" w14:textId="342C29BF" w:rsidR="005B0A25" w:rsidRDefault="0011714C" w:rsidP="005B0A25">
            <w:pPr>
              <w:jc w:val="both"/>
              <w:rPr>
                <w:rFonts w:ascii="Verdana" w:hAnsi="Verdana"/>
                <w:color w:val="757575"/>
                <w:sz w:val="18"/>
                <w:szCs w:val="18"/>
              </w:rPr>
            </w:pPr>
            <w:r w:rsidRPr="006034B8">
              <w:rPr>
                <w:rFonts w:ascii="Verdana" w:hAnsi="Verdana"/>
                <w:color w:val="757575"/>
                <w:sz w:val="18"/>
                <w:szCs w:val="18"/>
              </w:rPr>
              <w:object w:dxaOrig="1536" w:dyaOrig="994" w14:anchorId="5C5F5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8" ShapeID="_x0000_i1025" DrawAspect="Icon" ObjectID="_1748954894" r:id="rId11">
                  <o:FieldCodes>\s</o:FieldCodes>
                </o:OLEObject>
              </w:object>
            </w:r>
          </w:p>
        </w:tc>
      </w:tr>
      <w:tr w:rsidR="00211A6B" w14:paraId="2F9D86DF" w14:textId="77777777" w:rsidTr="006128CB">
        <w:trPr>
          <w:tblCellSpacing w:w="15" w:type="dxa"/>
        </w:trPr>
        <w:tc>
          <w:tcPr>
            <w:tcW w:w="0" w:type="auto"/>
          </w:tcPr>
          <w:p w14:paraId="6B3EFAE4" w14:textId="0ACAF301" w:rsidR="00211A6B" w:rsidRPr="005B0A25" w:rsidRDefault="00211A6B" w:rsidP="005B0A25">
            <w:pPr>
              <w:jc w:val="both"/>
              <w:rPr>
                <w:rFonts w:ascii="Verdana" w:hAnsi="Verdana"/>
                <w:b/>
                <w:bCs/>
                <w:sz w:val="18"/>
                <w:szCs w:val="18"/>
              </w:rPr>
            </w:pPr>
            <w:r w:rsidRPr="005B0A25">
              <w:rPr>
                <w:rFonts w:ascii="Verdana" w:hAnsi="Verdana"/>
                <w:b/>
                <w:bCs/>
                <w:sz w:val="18"/>
                <w:szCs w:val="18"/>
              </w:rPr>
              <w:t>E-signature</w:t>
            </w:r>
          </w:p>
        </w:tc>
        <w:tc>
          <w:tcPr>
            <w:tcW w:w="0" w:type="auto"/>
          </w:tcPr>
          <w:p w14:paraId="6A2BDBD6" w14:textId="5EC1C8A7" w:rsidR="00211A6B" w:rsidRDefault="00211A6B" w:rsidP="005B0A25">
            <w:pPr>
              <w:jc w:val="both"/>
              <w:rPr>
                <w:rFonts w:ascii="Verdana" w:hAnsi="Verdana"/>
                <w:color w:val="757575"/>
                <w:sz w:val="18"/>
                <w:szCs w:val="18"/>
              </w:rPr>
            </w:pPr>
            <w:r>
              <w:rPr>
                <w:rFonts w:ascii="Verdana" w:hAnsi="Verdana"/>
                <w:color w:val="757575"/>
                <w:sz w:val="18"/>
                <w:szCs w:val="18"/>
              </w:rPr>
              <w:t>Not applicable</w:t>
            </w:r>
          </w:p>
        </w:tc>
      </w:tr>
    </w:tbl>
    <w:p w14:paraId="5C5F5D98" w14:textId="77777777" w:rsidR="005B0A25" w:rsidRDefault="005B0A25" w:rsidP="005B0A25">
      <w:pPr>
        <w:pStyle w:val="Heading2"/>
        <w:jc w:val="both"/>
      </w:pPr>
    </w:p>
    <w:p w14:paraId="5C5F5D99" w14:textId="77777777" w:rsidR="005B0A25" w:rsidRDefault="005B0A25" w:rsidP="005B0A25">
      <w:pPr>
        <w:pStyle w:val="Heading2"/>
        <w:jc w:val="both"/>
      </w:pPr>
    </w:p>
    <w:p w14:paraId="5C5F5D9A" w14:textId="77777777" w:rsidR="005B0A25" w:rsidRDefault="005B0A25" w:rsidP="005B0A25">
      <w:pPr>
        <w:pStyle w:val="Heading2"/>
        <w:jc w:val="both"/>
      </w:pPr>
    </w:p>
    <w:p w14:paraId="5C5F5D9B" w14:textId="77777777" w:rsidR="005B0A25" w:rsidRDefault="005B0A25" w:rsidP="005B0A25">
      <w:pPr>
        <w:pStyle w:val="Heading2"/>
        <w:jc w:val="both"/>
      </w:pPr>
    </w:p>
    <w:p w14:paraId="5C5F5D9C" w14:textId="77777777" w:rsidR="005B0A25" w:rsidRDefault="005B0A25" w:rsidP="005B0A25">
      <w:pPr>
        <w:pStyle w:val="Heading2"/>
        <w:jc w:val="both"/>
      </w:pPr>
    </w:p>
    <w:p w14:paraId="5C5F5D9D" w14:textId="77777777" w:rsidR="005B0A25" w:rsidRDefault="005B0A25" w:rsidP="005B0A25">
      <w:pPr>
        <w:pStyle w:val="Heading2"/>
        <w:jc w:val="both"/>
      </w:pPr>
    </w:p>
    <w:p w14:paraId="5C5F5D9E" w14:textId="77777777" w:rsidR="005B0A25" w:rsidRDefault="005B0A25" w:rsidP="005B0A25">
      <w:pPr>
        <w:pStyle w:val="Heading2"/>
        <w:jc w:val="both"/>
      </w:pPr>
    </w:p>
    <w:p w14:paraId="65FA7D42" w14:textId="77777777" w:rsidR="00DD029D" w:rsidRDefault="00DD029D" w:rsidP="00DD029D">
      <w:pPr>
        <w:pStyle w:val="BodyText"/>
      </w:pPr>
    </w:p>
    <w:p w14:paraId="72DA96CA" w14:textId="77777777" w:rsidR="00A63F8B" w:rsidRPr="00DD029D" w:rsidRDefault="00A63F8B" w:rsidP="00DD029D">
      <w:pPr>
        <w:pStyle w:val="BodyText"/>
      </w:pPr>
    </w:p>
    <w:p w14:paraId="5C5F5D9F" w14:textId="77777777" w:rsidR="00432B3C" w:rsidRPr="003C744E" w:rsidRDefault="00A4461C" w:rsidP="005B0A25">
      <w:pPr>
        <w:pStyle w:val="Heading2"/>
        <w:jc w:val="both"/>
      </w:pPr>
      <w:r w:rsidRPr="00A4461C">
        <w:t>Account Opening</w:t>
      </w:r>
    </w:p>
    <w:p w14:paraId="5C5F5DA0" w14:textId="77777777" w:rsidR="00167968" w:rsidRDefault="00167968" w:rsidP="005B0A25">
      <w:pPr>
        <w:pStyle w:val="NormalWeb"/>
        <w:spacing w:after="0"/>
        <w:jc w:val="both"/>
        <w:rPr>
          <w:rFonts w:ascii="Verdana" w:hAnsi="Verdana"/>
          <w:b/>
          <w:sz w:val="18"/>
          <w:szCs w:val="18"/>
        </w:rPr>
      </w:pPr>
      <w:bookmarkStart w:id="6" w:name="_Toc336594673"/>
      <w:bookmarkStart w:id="7" w:name="_Toc385322899"/>
      <w:r>
        <w:rPr>
          <w:rFonts w:ascii="Verdana" w:hAnsi="Verdana"/>
          <w:b/>
          <w:sz w:val="18"/>
          <w:szCs w:val="18"/>
        </w:rPr>
        <w:t>Information</w:t>
      </w:r>
      <w:r w:rsidRPr="00167968">
        <w:rPr>
          <w:rFonts w:ascii="Verdana" w:hAnsi="Verdana"/>
          <w:b/>
          <w:sz w:val="18"/>
          <w:szCs w:val="18"/>
        </w:rPr>
        <w:t xml:space="preserve"> </w:t>
      </w:r>
      <w:r w:rsidR="0011714C" w:rsidRPr="00167968">
        <w:rPr>
          <w:rFonts w:ascii="Verdana" w:hAnsi="Verdana"/>
          <w:b/>
          <w:sz w:val="18"/>
          <w:szCs w:val="18"/>
        </w:rPr>
        <w:t>required</w:t>
      </w:r>
      <w:r w:rsidRPr="00167968">
        <w:rPr>
          <w:rFonts w:ascii="Verdana" w:hAnsi="Verdana"/>
          <w:b/>
          <w:sz w:val="18"/>
          <w:szCs w:val="18"/>
        </w:rPr>
        <w:t xml:space="preserve"> </w:t>
      </w:r>
      <w:r w:rsidR="0011714C">
        <w:rPr>
          <w:rFonts w:ascii="Verdana" w:hAnsi="Verdana"/>
          <w:b/>
          <w:sz w:val="18"/>
          <w:szCs w:val="18"/>
        </w:rPr>
        <w:t>from the client</w:t>
      </w:r>
    </w:p>
    <w:p w14:paraId="5C5F5DA1" w14:textId="169EA1FD" w:rsidR="00167968" w:rsidRDefault="00BD6B76" w:rsidP="005B0A25">
      <w:pPr>
        <w:pStyle w:val="NormalWeb"/>
        <w:spacing w:after="0"/>
        <w:jc w:val="both"/>
        <w:rPr>
          <w:rFonts w:ascii="Verdana" w:hAnsi="Verdana"/>
          <w:b/>
          <w:sz w:val="18"/>
          <w:szCs w:val="18"/>
        </w:rPr>
      </w:pPr>
      <w:r>
        <w:rPr>
          <w:rFonts w:ascii="Verdana" w:eastAsiaTheme="minorHAnsi" w:hAnsi="Verdana" w:cstheme="minorBidi"/>
          <w:szCs w:val="22"/>
          <w:lang w:eastAsia="en-US"/>
        </w:rPr>
        <w:object w:dxaOrig="1440" w:dyaOrig="1215" w14:anchorId="1757993E">
          <v:shape id="_x0000_i1026" type="#_x0000_t75" style="width:1in;height:61pt" o:ole="">
            <v:imagedata r:id="rId12" o:title=""/>
          </v:shape>
          <o:OLEObject Type="Embed" ProgID="Outlook.FileAttach" ShapeID="_x0000_i1026" DrawAspect="Icon" ObjectID="_1748954895" r:id="rId13"/>
        </w:object>
      </w:r>
    </w:p>
    <w:p w14:paraId="5C5F5DA2" w14:textId="77777777" w:rsidR="00A4461C" w:rsidRPr="00167968" w:rsidRDefault="00A4461C" w:rsidP="005B0A25">
      <w:pPr>
        <w:pStyle w:val="NormalWeb"/>
        <w:spacing w:after="0"/>
        <w:jc w:val="both"/>
        <w:rPr>
          <w:rFonts w:ascii="Verdana" w:hAnsi="Verdana"/>
          <w:color w:val="757575"/>
          <w:sz w:val="18"/>
          <w:szCs w:val="18"/>
        </w:rPr>
      </w:pPr>
      <w:r w:rsidRPr="00167968">
        <w:rPr>
          <w:rFonts w:ascii="Verdana" w:hAnsi="Verdana"/>
          <w:b/>
          <w:sz w:val="18"/>
          <w:szCs w:val="18"/>
        </w:rPr>
        <w:t>Documentation Required by the Agent</w:t>
      </w:r>
    </w:p>
    <w:p w14:paraId="140B67A4" w14:textId="77777777" w:rsidR="00211A6B" w:rsidRDefault="00211A6B" w:rsidP="00211A6B">
      <w:pPr>
        <w:spacing w:before="0" w:after="0"/>
        <w:jc w:val="both"/>
        <w:rPr>
          <w:rFonts w:ascii="Verdana" w:hAnsi="Verdana"/>
          <w:color w:val="757575"/>
          <w:sz w:val="18"/>
          <w:szCs w:val="18"/>
        </w:rPr>
      </w:pPr>
    </w:p>
    <w:p w14:paraId="0126EBA8" w14:textId="6D07A0E1" w:rsidR="00DD029D" w:rsidRDefault="00211A6B" w:rsidP="00211A6B">
      <w:pPr>
        <w:spacing w:before="0" w:after="0"/>
        <w:jc w:val="both"/>
        <w:rPr>
          <w:rFonts w:ascii="Verdana" w:hAnsi="Verdana"/>
          <w:i/>
          <w:color w:val="757575"/>
          <w:sz w:val="18"/>
          <w:szCs w:val="18"/>
        </w:rPr>
      </w:pPr>
      <w:r w:rsidRPr="00673B4C">
        <w:rPr>
          <w:rFonts w:ascii="Verdana" w:hAnsi="Verdana"/>
          <w:color w:val="757575"/>
          <w:sz w:val="18"/>
          <w:szCs w:val="18"/>
        </w:rPr>
        <w:t>Certificate of Incorporation/Regist</w:t>
      </w:r>
      <w:r>
        <w:rPr>
          <w:rFonts w:ascii="Verdana" w:hAnsi="Verdana"/>
          <w:color w:val="757575"/>
          <w:sz w:val="18"/>
          <w:szCs w:val="18"/>
        </w:rPr>
        <w:t>ration, Articles of Association,</w:t>
      </w:r>
      <w:r w:rsidRPr="00673B4C">
        <w:rPr>
          <w:rFonts w:ascii="Verdana" w:hAnsi="Verdana"/>
          <w:color w:val="757575"/>
          <w:sz w:val="18"/>
          <w:szCs w:val="18"/>
        </w:rPr>
        <w:t xml:space="preserve"> Declaratio</w:t>
      </w:r>
      <w:r>
        <w:rPr>
          <w:rFonts w:ascii="Verdana" w:hAnsi="Verdana"/>
          <w:color w:val="757575"/>
          <w:sz w:val="18"/>
          <w:szCs w:val="18"/>
        </w:rPr>
        <w:t xml:space="preserve">n of Trust or equivalent </w:t>
      </w:r>
      <w:r w:rsidRPr="00673B4C">
        <w:rPr>
          <w:rFonts w:ascii="Verdana" w:hAnsi="Verdana"/>
          <w:color w:val="757575"/>
          <w:sz w:val="18"/>
          <w:szCs w:val="18"/>
        </w:rPr>
        <w:t>documen</w:t>
      </w:r>
      <w:r>
        <w:rPr>
          <w:rFonts w:ascii="Verdana" w:hAnsi="Verdana"/>
          <w:color w:val="757575"/>
          <w:sz w:val="18"/>
          <w:szCs w:val="18"/>
        </w:rPr>
        <w:t xml:space="preserve">t – </w:t>
      </w:r>
      <w:r w:rsidRPr="00211A6B">
        <w:rPr>
          <w:rFonts w:ascii="Verdana" w:hAnsi="Verdana"/>
          <w:i/>
          <w:color w:val="757575"/>
          <w:sz w:val="18"/>
          <w:szCs w:val="18"/>
        </w:rPr>
        <w:t>notarized and apostilled/consularized</w:t>
      </w:r>
    </w:p>
    <w:p w14:paraId="5C59DD09" w14:textId="083039A6" w:rsidR="00211A6B" w:rsidRDefault="00211A6B" w:rsidP="00211A6B">
      <w:pPr>
        <w:spacing w:before="0" w:after="0"/>
        <w:jc w:val="both"/>
        <w:rPr>
          <w:rFonts w:ascii="Verdana" w:hAnsi="Verdana"/>
          <w:color w:val="757575"/>
          <w:sz w:val="18"/>
          <w:szCs w:val="18"/>
        </w:rPr>
      </w:pPr>
      <w:r>
        <w:rPr>
          <w:rFonts w:ascii="Verdana" w:hAnsi="Verdana"/>
          <w:color w:val="757575"/>
          <w:sz w:val="18"/>
          <w:szCs w:val="18"/>
        </w:rPr>
        <w:t xml:space="preserve">OR If none of these documents is available, Fund Prospectus – </w:t>
      </w:r>
      <w:r w:rsidRPr="00211A6B">
        <w:rPr>
          <w:rFonts w:ascii="Verdana" w:hAnsi="Verdana"/>
          <w:i/>
          <w:color w:val="757575"/>
          <w:sz w:val="18"/>
          <w:szCs w:val="18"/>
        </w:rPr>
        <w:t>notarized and apostilled/consularized</w:t>
      </w:r>
    </w:p>
    <w:p w14:paraId="6FF6BC93" w14:textId="77777777" w:rsidR="00211A6B" w:rsidRDefault="00211A6B" w:rsidP="00211A6B">
      <w:pPr>
        <w:spacing w:before="0" w:after="0"/>
        <w:jc w:val="both"/>
        <w:rPr>
          <w:rFonts w:ascii="Verdana" w:hAnsi="Verdana"/>
          <w:color w:val="757575"/>
          <w:sz w:val="18"/>
          <w:szCs w:val="18"/>
        </w:rPr>
      </w:pPr>
    </w:p>
    <w:p w14:paraId="2D0819B2" w14:textId="2401B12C" w:rsidR="00211A6B" w:rsidRPr="00211A6B" w:rsidRDefault="00211A6B" w:rsidP="00211A6B">
      <w:pPr>
        <w:spacing w:before="0" w:after="0"/>
        <w:jc w:val="both"/>
        <w:rPr>
          <w:rFonts w:ascii="Verdana" w:hAnsi="Verdana"/>
          <w:color w:val="757575"/>
          <w:sz w:val="18"/>
          <w:szCs w:val="18"/>
        </w:rPr>
      </w:pPr>
      <w:r>
        <w:rPr>
          <w:rFonts w:ascii="Verdana" w:hAnsi="Verdana"/>
          <w:color w:val="757575"/>
          <w:sz w:val="18"/>
          <w:szCs w:val="18"/>
        </w:rPr>
        <w:t>The document must support the full legal name, the registered address and the establishment date of the client.</w:t>
      </w:r>
    </w:p>
    <w:p w14:paraId="484E2533" w14:textId="77777777" w:rsidR="00211A6B" w:rsidRDefault="00211A6B" w:rsidP="00211A6B">
      <w:pPr>
        <w:jc w:val="both"/>
        <w:rPr>
          <w:rFonts w:ascii="Verdana" w:hAnsi="Verdana"/>
          <w:color w:val="757575"/>
          <w:sz w:val="18"/>
          <w:szCs w:val="18"/>
          <w:lang w:val="en-GB"/>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96"/>
        <w:gridCol w:w="8549"/>
      </w:tblGrid>
      <w:tr w:rsidR="00B87FE2" w:rsidRPr="00DB69BC" w14:paraId="5C5F5DA9" w14:textId="77777777" w:rsidTr="00935652">
        <w:trPr>
          <w:tblCellSpacing w:w="15" w:type="dxa"/>
        </w:trPr>
        <w:tc>
          <w:tcPr>
            <w:tcW w:w="0" w:type="auto"/>
          </w:tcPr>
          <w:p w14:paraId="5C5F5DA5" w14:textId="77777777" w:rsidR="00B87FE2" w:rsidRDefault="00B87FE2" w:rsidP="00935652">
            <w:pPr>
              <w:pStyle w:val="NormalWeb"/>
              <w:jc w:val="both"/>
              <w:rPr>
                <w:rFonts w:ascii="Verdana" w:hAnsi="Verdana"/>
                <w:sz w:val="18"/>
                <w:szCs w:val="18"/>
              </w:rPr>
            </w:pPr>
            <w:r>
              <w:rPr>
                <w:rFonts w:ascii="Verdana" w:hAnsi="Verdana"/>
                <w:b/>
                <w:bCs/>
                <w:sz w:val="18"/>
                <w:szCs w:val="18"/>
              </w:rPr>
              <w:t>Timing</w:t>
            </w:r>
          </w:p>
        </w:tc>
        <w:tc>
          <w:tcPr>
            <w:tcW w:w="0" w:type="auto"/>
          </w:tcPr>
          <w:p w14:paraId="5C5F5DA6" w14:textId="77777777" w:rsidR="00B87FE2" w:rsidRDefault="00B87FE2"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Pr>
                <w:rFonts w:ascii="Verdana" w:hAnsi="Verdana"/>
                <w:color w:val="757575"/>
                <w:sz w:val="18"/>
                <w:szCs w:val="18"/>
                <w:lang w:eastAsia="en-GB"/>
              </w:rPr>
              <w:t>10 business days</w:t>
            </w:r>
            <w:r w:rsidRPr="00A4461C">
              <w:rPr>
                <w:rFonts w:ascii="Verdana" w:hAnsi="Verdana"/>
                <w:color w:val="757575"/>
                <w:sz w:val="18"/>
                <w:szCs w:val="18"/>
                <w:lang w:eastAsia="en-GB"/>
              </w:rPr>
              <w:t xml:space="preserve"> post completion and acceptance of documents by the agent. </w:t>
            </w:r>
          </w:p>
          <w:p w14:paraId="5C5F5DA7" w14:textId="77777777" w:rsidR="00B87FE2" w:rsidRDefault="00B87FE2"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executed documents received from the client may be sent for further certification or legalization affecting the turnaround time for market application. </w:t>
            </w:r>
          </w:p>
          <w:p w14:paraId="5C5F5DA8" w14:textId="77777777" w:rsidR="00B87FE2" w:rsidRPr="00D12E2C" w:rsidRDefault="00B87FE2"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The documents may also be subject to regulatory and KYC checks and additional documents may be requested by the agent/market authorities which could potentially extend the normal processing time.</w:t>
            </w:r>
          </w:p>
        </w:tc>
      </w:tr>
      <w:tr w:rsidR="00B87FE2" w14:paraId="5C5F5DAC" w14:textId="77777777" w:rsidTr="00935652">
        <w:trPr>
          <w:tblCellSpacing w:w="15" w:type="dxa"/>
        </w:trPr>
        <w:tc>
          <w:tcPr>
            <w:tcW w:w="0" w:type="auto"/>
          </w:tcPr>
          <w:p w14:paraId="5C5F5DAA" w14:textId="77777777" w:rsidR="00B87FE2" w:rsidRDefault="00B87FE2" w:rsidP="00935652">
            <w:pPr>
              <w:pStyle w:val="NormalWeb"/>
              <w:jc w:val="both"/>
              <w:rPr>
                <w:rFonts w:ascii="Verdana" w:hAnsi="Verdana"/>
                <w:sz w:val="18"/>
                <w:szCs w:val="18"/>
              </w:rPr>
            </w:pPr>
            <w:r>
              <w:rPr>
                <w:rFonts w:ascii="Verdana" w:hAnsi="Verdana"/>
                <w:b/>
                <w:bCs/>
                <w:sz w:val="18"/>
                <w:szCs w:val="18"/>
              </w:rPr>
              <w:t>Sub-Custodian</w:t>
            </w:r>
          </w:p>
        </w:tc>
        <w:tc>
          <w:tcPr>
            <w:tcW w:w="0" w:type="auto"/>
          </w:tcPr>
          <w:p w14:paraId="5C5F5DAB" w14:textId="0CB2B95A" w:rsidR="00B87FE2" w:rsidRPr="00D12E2C" w:rsidRDefault="00B75DF2"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B87FE2" w:rsidRPr="00B87FE2">
              <w:rPr>
                <w:rFonts w:ascii="Verdana" w:hAnsi="Verdana"/>
                <w:color w:val="757575"/>
                <w:sz w:val="18"/>
                <w:szCs w:val="18"/>
                <w:lang w:eastAsia="en-GB"/>
              </w:rPr>
              <w:t>S</w:t>
            </w:r>
            <w:r w:rsidR="00B87FE2" w:rsidRPr="00673B4C">
              <w:rPr>
                <w:rFonts w:ascii="Verdana" w:hAnsi="Verdana"/>
                <w:color w:val="757575"/>
                <w:sz w:val="18"/>
                <w:szCs w:val="18"/>
                <w:lang w:eastAsia="en-GB"/>
              </w:rPr>
              <w:t xml:space="preserve"> has appointed Citibank, Istanbul as our agent. Their role is to process the application and open and manage the necessary accounts.</w:t>
            </w:r>
          </w:p>
        </w:tc>
      </w:tr>
      <w:tr w:rsidR="00B87FE2" w:rsidRPr="00DB69BC" w14:paraId="5C5F5DAF" w14:textId="77777777" w:rsidTr="00935652">
        <w:trPr>
          <w:tblCellSpacing w:w="15" w:type="dxa"/>
        </w:trPr>
        <w:tc>
          <w:tcPr>
            <w:tcW w:w="0" w:type="auto"/>
          </w:tcPr>
          <w:p w14:paraId="5C5F5DAD" w14:textId="77777777" w:rsidR="00B87FE2" w:rsidRDefault="00B87FE2" w:rsidP="00935652">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5C5F5DAE" w14:textId="2CE9D0FA" w:rsidR="00B87FE2" w:rsidRPr="00D12E2C" w:rsidRDefault="00211A6B" w:rsidP="00935652">
            <w:pPr>
              <w:pStyle w:val="NormalWeb"/>
              <w:jc w:val="both"/>
              <w:rPr>
                <w:rFonts w:ascii="Verdana" w:hAnsi="Verdana"/>
                <w:color w:val="757575"/>
                <w:sz w:val="18"/>
                <w:szCs w:val="18"/>
                <w:lang w:eastAsia="en-GB"/>
              </w:rPr>
            </w:pPr>
            <w:r w:rsidRPr="00673B4C">
              <w:rPr>
                <w:rFonts w:ascii="Verdana" w:hAnsi="Verdana"/>
                <w:color w:val="757575"/>
                <w:sz w:val="18"/>
                <w:szCs w:val="18"/>
              </w:rPr>
              <w:t>Our agent Citibank will arrange to have the document translated in Turkish</w:t>
            </w:r>
          </w:p>
        </w:tc>
      </w:tr>
    </w:tbl>
    <w:p w14:paraId="5C5F5DB0" w14:textId="77777777" w:rsidR="00B87FE2" w:rsidRDefault="00B87FE2" w:rsidP="005B0A25">
      <w:pPr>
        <w:ind w:left="360" w:hanging="360"/>
        <w:jc w:val="both"/>
        <w:rPr>
          <w:rFonts w:ascii="Verdana" w:hAnsi="Verdana"/>
          <w:color w:val="757575"/>
          <w:sz w:val="18"/>
          <w:szCs w:val="18"/>
          <w:lang w:val="en-GB"/>
        </w:rPr>
      </w:pPr>
    </w:p>
    <w:p w14:paraId="5C5F5DB1" w14:textId="77777777" w:rsidR="00B87FE2" w:rsidRDefault="00B87FE2" w:rsidP="005B0A25">
      <w:pPr>
        <w:ind w:left="360" w:hanging="360"/>
        <w:jc w:val="both"/>
        <w:rPr>
          <w:rFonts w:ascii="Verdana" w:hAnsi="Verdana"/>
          <w:color w:val="757575"/>
          <w:sz w:val="18"/>
          <w:szCs w:val="18"/>
          <w:lang w:val="en-GB"/>
        </w:rPr>
      </w:pPr>
    </w:p>
    <w:p w14:paraId="1957778D" w14:textId="11B15607" w:rsidR="00DD029D" w:rsidRDefault="00DD029D" w:rsidP="005B0A25">
      <w:pPr>
        <w:ind w:left="360" w:hanging="360"/>
        <w:jc w:val="both"/>
        <w:rPr>
          <w:rFonts w:ascii="Verdana" w:hAnsi="Verdana"/>
          <w:color w:val="757575"/>
          <w:sz w:val="18"/>
          <w:szCs w:val="18"/>
          <w:lang w:val="en-GB"/>
        </w:rPr>
      </w:pPr>
    </w:p>
    <w:p w14:paraId="04CB98CB" w14:textId="77777777" w:rsidR="00DD029D" w:rsidRDefault="00DD029D" w:rsidP="005B0A25">
      <w:pPr>
        <w:ind w:left="360" w:hanging="360"/>
        <w:jc w:val="both"/>
        <w:rPr>
          <w:rFonts w:ascii="Verdana" w:hAnsi="Verdana"/>
          <w:color w:val="757575"/>
          <w:sz w:val="18"/>
          <w:szCs w:val="18"/>
          <w:lang w:val="en-GB"/>
        </w:rPr>
      </w:pPr>
    </w:p>
    <w:p w14:paraId="35F16246" w14:textId="77777777" w:rsidR="00DD029D" w:rsidRDefault="00DD029D" w:rsidP="005B0A25">
      <w:pPr>
        <w:ind w:left="360" w:hanging="360"/>
        <w:jc w:val="both"/>
        <w:rPr>
          <w:rFonts w:ascii="Verdana" w:hAnsi="Verdana"/>
          <w:color w:val="757575"/>
          <w:sz w:val="18"/>
          <w:szCs w:val="18"/>
          <w:lang w:val="en-GB"/>
        </w:rPr>
      </w:pPr>
    </w:p>
    <w:p w14:paraId="09CD9C1F" w14:textId="77777777" w:rsidR="00DD029D" w:rsidRDefault="00DD029D" w:rsidP="005B0A25">
      <w:pPr>
        <w:ind w:left="360" w:hanging="360"/>
        <w:jc w:val="both"/>
        <w:rPr>
          <w:rFonts w:ascii="Verdana" w:hAnsi="Verdana"/>
          <w:color w:val="757575"/>
          <w:sz w:val="18"/>
          <w:szCs w:val="18"/>
          <w:lang w:val="en-GB"/>
        </w:rPr>
      </w:pPr>
    </w:p>
    <w:p w14:paraId="6858B1E4" w14:textId="77777777" w:rsidR="00DD029D" w:rsidRDefault="00DD029D" w:rsidP="005B0A25">
      <w:pPr>
        <w:ind w:left="360" w:hanging="360"/>
        <w:jc w:val="both"/>
        <w:rPr>
          <w:rFonts w:ascii="Verdana" w:hAnsi="Verdana"/>
          <w:color w:val="757575"/>
          <w:sz w:val="18"/>
          <w:szCs w:val="18"/>
          <w:lang w:val="en-GB"/>
        </w:rPr>
      </w:pPr>
    </w:p>
    <w:p w14:paraId="09FE5769" w14:textId="77777777" w:rsidR="00DD029D" w:rsidRDefault="00DD029D" w:rsidP="005B0A25">
      <w:pPr>
        <w:ind w:left="360" w:hanging="360"/>
        <w:jc w:val="both"/>
        <w:rPr>
          <w:rFonts w:ascii="Verdana" w:hAnsi="Verdana"/>
          <w:color w:val="757575"/>
          <w:sz w:val="18"/>
          <w:szCs w:val="18"/>
          <w:lang w:val="en-GB"/>
        </w:rPr>
      </w:pPr>
    </w:p>
    <w:p w14:paraId="7F5D8DF5" w14:textId="77777777" w:rsidR="00DD029D" w:rsidRDefault="00DD029D" w:rsidP="005B0A25">
      <w:pPr>
        <w:ind w:left="360" w:hanging="360"/>
        <w:jc w:val="both"/>
        <w:rPr>
          <w:rFonts w:ascii="Verdana" w:hAnsi="Verdana"/>
          <w:color w:val="757575"/>
          <w:sz w:val="18"/>
          <w:szCs w:val="18"/>
          <w:lang w:val="en-GB"/>
        </w:rPr>
      </w:pPr>
    </w:p>
    <w:p w14:paraId="5525F87C" w14:textId="77777777" w:rsidR="00DD029D" w:rsidRDefault="00DD029D" w:rsidP="005B0A25">
      <w:pPr>
        <w:ind w:left="360" w:hanging="360"/>
        <w:jc w:val="both"/>
        <w:rPr>
          <w:rFonts w:ascii="Verdana" w:hAnsi="Verdana"/>
          <w:color w:val="757575"/>
          <w:sz w:val="18"/>
          <w:szCs w:val="18"/>
          <w:lang w:val="en-GB"/>
        </w:rPr>
      </w:pPr>
    </w:p>
    <w:p w14:paraId="3E10E7D0" w14:textId="77777777" w:rsidR="00DD029D" w:rsidRDefault="00DD029D" w:rsidP="005B0A25">
      <w:pPr>
        <w:ind w:left="360" w:hanging="360"/>
        <w:jc w:val="both"/>
        <w:rPr>
          <w:rFonts w:ascii="Verdana" w:hAnsi="Verdana"/>
          <w:color w:val="757575"/>
          <w:sz w:val="18"/>
          <w:szCs w:val="18"/>
          <w:lang w:val="en-GB"/>
        </w:rPr>
      </w:pPr>
    </w:p>
    <w:p w14:paraId="632BB741" w14:textId="77777777" w:rsidR="00DD029D" w:rsidRDefault="00DD029D" w:rsidP="005B0A25">
      <w:pPr>
        <w:ind w:left="360" w:hanging="360"/>
        <w:jc w:val="both"/>
        <w:rPr>
          <w:rFonts w:ascii="Verdana" w:hAnsi="Verdana"/>
          <w:color w:val="757575"/>
          <w:sz w:val="18"/>
          <w:szCs w:val="18"/>
          <w:lang w:val="en-GB"/>
        </w:rPr>
      </w:pPr>
    </w:p>
    <w:p w14:paraId="5C5F5DB2" w14:textId="77777777" w:rsidR="00A4461C" w:rsidRPr="00A67CB1" w:rsidRDefault="00A4461C" w:rsidP="005B0A25">
      <w:pPr>
        <w:pStyle w:val="Heading3"/>
        <w:tabs>
          <w:tab w:val="center" w:pos="4877"/>
        </w:tabs>
        <w:jc w:val="both"/>
        <w:rPr>
          <w:sz w:val="25"/>
          <w:szCs w:val="25"/>
        </w:rPr>
      </w:pPr>
      <w:bookmarkStart w:id="8" w:name="_GoBack"/>
      <w:bookmarkEnd w:id="8"/>
      <w:r w:rsidRPr="00A67CB1">
        <w:rPr>
          <w:sz w:val="25"/>
          <w:szCs w:val="25"/>
        </w:rPr>
        <w:t>Account Modification/Name change Requirements</w:t>
      </w:r>
    </w:p>
    <w:p w14:paraId="5C5F5DB3" w14:textId="0AA296C7" w:rsidR="00673B4C" w:rsidRPr="00673B4C" w:rsidRDefault="00211A6B" w:rsidP="005B0A25">
      <w:pPr>
        <w:jc w:val="both"/>
        <w:rPr>
          <w:rFonts w:ascii="Verdana" w:hAnsi="Verdana"/>
          <w:color w:val="757575"/>
          <w:sz w:val="18"/>
          <w:szCs w:val="18"/>
        </w:rPr>
      </w:pPr>
      <w:r>
        <w:rPr>
          <w:rFonts w:ascii="Verdana" w:hAnsi="Verdana"/>
          <w:color w:val="757575"/>
          <w:sz w:val="18"/>
          <w:szCs w:val="18"/>
        </w:rPr>
        <w:t xml:space="preserve">Official document showing the change of name – </w:t>
      </w:r>
      <w:r w:rsidRPr="00211A6B">
        <w:rPr>
          <w:rFonts w:ascii="Verdana" w:hAnsi="Verdana"/>
          <w:i/>
          <w:color w:val="757575"/>
          <w:sz w:val="18"/>
          <w:szCs w:val="18"/>
        </w:rPr>
        <w:t>notarized and apostilled/consularized</w:t>
      </w:r>
    </w:p>
    <w:p w14:paraId="5C5F5DB4" w14:textId="77777777" w:rsidR="00A4461C" w:rsidRDefault="00A4461C" w:rsidP="005B0A25">
      <w:pPr>
        <w:spacing w:before="100" w:beforeAutospacing="1" w:after="100" w:afterAutospacing="1"/>
        <w:ind w:left="-90" w:right="-90"/>
        <w:jc w:val="both"/>
        <w:rPr>
          <w:rFonts w:ascii="Verdana" w:hAnsi="Verdana"/>
          <w:color w:val="808080"/>
          <w:sz w:val="18"/>
          <w:szCs w:val="18"/>
        </w:rPr>
      </w:pPr>
    </w:p>
    <w:p w14:paraId="2D09E7D4" w14:textId="5559AA97" w:rsidR="00DD029D" w:rsidRDefault="00DD029D" w:rsidP="005B0A25">
      <w:pPr>
        <w:spacing w:before="100" w:beforeAutospacing="1" w:after="100" w:afterAutospacing="1"/>
        <w:ind w:left="-90" w:right="-90"/>
        <w:jc w:val="both"/>
        <w:rPr>
          <w:rFonts w:ascii="Verdana" w:hAnsi="Verdana"/>
          <w:color w:val="808080"/>
          <w:sz w:val="18"/>
          <w:szCs w:val="18"/>
        </w:rPr>
      </w:pPr>
    </w:p>
    <w:p w14:paraId="2A13D185"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38DDAD54"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7A6598E9"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09653663"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25EDF9B9"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637C4E8C"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3C5ABE2B"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1316BA90"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44098B7D"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35C521DC"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49B2A914"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080E55A6"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5F9B7777"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101D7945"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5D65ECF3"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703CE7FD"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58CA6A6D"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3B74DF24"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2E1EF1E9"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68E92E20"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650439D1"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70DF819C"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1C6A6A2D"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1A320A9F" w14:textId="77777777" w:rsidR="00DD029D" w:rsidRDefault="00DD029D" w:rsidP="005B0A25">
      <w:pPr>
        <w:spacing w:before="100" w:beforeAutospacing="1" w:after="100" w:afterAutospacing="1"/>
        <w:ind w:left="-90" w:right="-90"/>
        <w:jc w:val="both"/>
        <w:rPr>
          <w:rFonts w:ascii="Verdana" w:hAnsi="Verdana"/>
          <w:color w:val="808080"/>
          <w:sz w:val="18"/>
          <w:szCs w:val="18"/>
        </w:rPr>
      </w:pPr>
    </w:p>
    <w:p w14:paraId="5C5F5DB5" w14:textId="77777777" w:rsidR="00A4461C" w:rsidRPr="00A67CB1" w:rsidRDefault="00A4461C" w:rsidP="005B0A25">
      <w:pPr>
        <w:pStyle w:val="Heading3"/>
        <w:tabs>
          <w:tab w:val="center" w:pos="4877"/>
        </w:tabs>
        <w:jc w:val="both"/>
        <w:rPr>
          <w:sz w:val="25"/>
          <w:szCs w:val="25"/>
        </w:rPr>
      </w:pPr>
      <w:r w:rsidRPr="00A67CB1">
        <w:rPr>
          <w:sz w:val="25"/>
          <w:szCs w:val="25"/>
        </w:rPr>
        <w:t>Account Closure</w:t>
      </w:r>
    </w:p>
    <w:p w14:paraId="5C5F5DB6" w14:textId="5E602446" w:rsidR="00A4461C" w:rsidRDefault="00A4461C" w:rsidP="005B0A25">
      <w:pPr>
        <w:jc w:val="both"/>
        <w:rPr>
          <w:rFonts w:ascii="Verdana" w:hAnsi="Verdana"/>
          <w:color w:val="757575"/>
          <w:sz w:val="18"/>
          <w:szCs w:val="18"/>
          <w:lang w:eastAsia="en-GB"/>
        </w:rPr>
      </w:pPr>
      <w:r>
        <w:rPr>
          <w:rFonts w:ascii="Verdana" w:hAnsi="Verdana"/>
          <w:color w:val="757575"/>
          <w:sz w:val="18"/>
          <w:szCs w:val="18"/>
          <w:lang w:eastAsia="en-GB"/>
        </w:rPr>
        <w:t xml:space="preserve">No </w:t>
      </w:r>
      <w:r w:rsidR="00A63F8B">
        <w:rPr>
          <w:rFonts w:ascii="Verdana" w:hAnsi="Verdana"/>
          <w:color w:val="757575"/>
          <w:sz w:val="18"/>
          <w:szCs w:val="18"/>
          <w:lang w:eastAsia="en-GB"/>
        </w:rPr>
        <w:t>d</w:t>
      </w:r>
      <w:r>
        <w:rPr>
          <w:rFonts w:ascii="Verdana" w:hAnsi="Verdana"/>
          <w:color w:val="757575"/>
          <w:sz w:val="18"/>
          <w:szCs w:val="18"/>
          <w:lang w:eastAsia="en-GB"/>
        </w:rPr>
        <w:t>ocumentation required however client should always ensure t</w:t>
      </w:r>
      <w:r w:rsidRPr="00042F42">
        <w:rPr>
          <w:rFonts w:ascii="Verdana" w:hAnsi="Verdana"/>
          <w:color w:val="757575"/>
          <w:sz w:val="18"/>
          <w:szCs w:val="18"/>
          <w:lang w:eastAsia="en-GB"/>
        </w:rPr>
        <w:t xml:space="preserve">here </w:t>
      </w:r>
      <w:r>
        <w:rPr>
          <w:rFonts w:ascii="Verdana" w:hAnsi="Verdana"/>
          <w:color w:val="757575"/>
          <w:sz w:val="18"/>
          <w:szCs w:val="18"/>
          <w:lang w:eastAsia="en-GB"/>
        </w:rPr>
        <w:t xml:space="preserve">are </w:t>
      </w:r>
      <w:r w:rsidRPr="00042F42">
        <w:rPr>
          <w:rFonts w:ascii="Verdana" w:hAnsi="Verdana"/>
          <w:color w:val="757575"/>
          <w:sz w:val="18"/>
          <w:szCs w:val="18"/>
          <w:lang w:eastAsia="en-GB"/>
        </w:rPr>
        <w:t>no outstanding trades, corporate actions, fees and holdings</w:t>
      </w:r>
      <w:r>
        <w:rPr>
          <w:rFonts w:ascii="Verdana" w:hAnsi="Verdana"/>
          <w:color w:val="757575"/>
          <w:sz w:val="18"/>
          <w:szCs w:val="18"/>
          <w:lang w:eastAsia="en-GB"/>
        </w:rPr>
        <w:t xml:space="preserve"> prior to sending the closure instruction.</w:t>
      </w:r>
    </w:p>
    <w:p w14:paraId="5C5F5DB7" w14:textId="77777777" w:rsidR="00673B4C" w:rsidRDefault="00673B4C" w:rsidP="005B0A25">
      <w:pPr>
        <w:jc w:val="both"/>
        <w:rPr>
          <w:rFonts w:ascii="Verdana" w:hAnsi="Verdana"/>
          <w:color w:val="757575"/>
          <w:sz w:val="18"/>
          <w:szCs w:val="18"/>
          <w:lang w:eastAsia="en-GB"/>
        </w:rPr>
      </w:pPr>
    </w:p>
    <w:p w14:paraId="5C5F5DB8" w14:textId="77777777" w:rsidR="00A4461C" w:rsidRDefault="00A4461C" w:rsidP="005B0A25">
      <w:pPr>
        <w:jc w:val="both"/>
        <w:rPr>
          <w:rFonts w:ascii="Verdana" w:hAnsi="Verdana"/>
          <w:color w:val="757575"/>
          <w:sz w:val="18"/>
          <w:szCs w:val="18"/>
          <w:lang w:eastAsia="en-GB"/>
        </w:rPr>
      </w:pPr>
    </w:p>
    <w:bookmarkEnd w:id="6"/>
    <w:bookmarkEnd w:id="7"/>
    <w:p w14:paraId="5C5F5DB9" w14:textId="77777777" w:rsidR="00B924A2" w:rsidRDefault="00B924A2" w:rsidP="005B0A25">
      <w:pPr>
        <w:pStyle w:val="BodyText"/>
        <w:jc w:val="both"/>
        <w:rPr>
          <w:lang w:eastAsia="en-US"/>
        </w:rPr>
      </w:pPr>
    </w:p>
    <w:p w14:paraId="5C5F5DBA" w14:textId="77777777" w:rsidR="00B924A2" w:rsidRPr="00B924A2" w:rsidRDefault="00B924A2" w:rsidP="005B0A25">
      <w:pPr>
        <w:pStyle w:val="BodyText"/>
        <w:jc w:val="both"/>
        <w:rPr>
          <w:lang w:eastAsia="en-US"/>
        </w:rPr>
      </w:pPr>
    </w:p>
    <w:p w14:paraId="5C5F5DBB" w14:textId="77777777" w:rsidR="00B924A2" w:rsidRPr="00B924A2" w:rsidRDefault="00B924A2" w:rsidP="005B0A25">
      <w:pPr>
        <w:pStyle w:val="BodyText"/>
        <w:jc w:val="both"/>
        <w:rPr>
          <w:lang w:eastAsia="en-US"/>
        </w:rPr>
      </w:pPr>
    </w:p>
    <w:bookmarkEnd w:id="2"/>
    <w:bookmarkEnd w:id="3"/>
    <w:p w14:paraId="5C5F5DBC" w14:textId="77777777" w:rsidR="00432B3C" w:rsidRPr="003C744E" w:rsidRDefault="00432B3C" w:rsidP="005B0A25">
      <w:pPr>
        <w:pStyle w:val="ListNumber"/>
        <w:jc w:val="both"/>
        <w:sectPr w:rsidR="00432B3C" w:rsidRPr="003C744E" w:rsidSect="00DD570C">
          <w:footerReference w:type="default" r:id="rId14"/>
          <w:headerReference w:type="first" r:id="rId15"/>
          <w:footerReference w:type="first" r:id="rId16"/>
          <w:pgSz w:w="11909" w:h="16834" w:code="9"/>
          <w:pgMar w:top="1077" w:right="1077" w:bottom="1077" w:left="1077" w:header="1080" w:footer="432" w:gutter="0"/>
          <w:pgNumType w:start="1"/>
          <w:cols w:space="720"/>
          <w:titlePg/>
          <w:docGrid w:linePitch="360"/>
        </w:sectPr>
      </w:pPr>
    </w:p>
    <w:p w14:paraId="5C5F5DBD" w14:textId="77777777" w:rsidR="00432B3C" w:rsidRPr="00DD570C" w:rsidRDefault="00432B3C" w:rsidP="005B0A25">
      <w:pPr>
        <w:pStyle w:val="TitleDisclaimer"/>
        <w:jc w:val="both"/>
      </w:pPr>
      <w:r w:rsidRPr="00DD570C">
        <w:lastRenderedPageBreak/>
        <w:t>Disclaimer</w:t>
      </w:r>
    </w:p>
    <w:p w14:paraId="5C5F5DBF" w14:textId="042397CD" w:rsidR="00A67A57" w:rsidRDefault="00B75DF2" w:rsidP="005B0A25">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7"/>
      <w:headerReference w:type="first" r:id="rId18"/>
      <w:footerReference w:type="first" r:id="rId19"/>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F5DC4" w14:textId="77777777" w:rsidR="005B0A25" w:rsidRDefault="005B0A25" w:rsidP="00432B3C">
      <w:pPr>
        <w:spacing w:before="0" w:after="0" w:line="240" w:lineRule="auto"/>
      </w:pPr>
      <w:r>
        <w:separator/>
      </w:r>
    </w:p>
  </w:endnote>
  <w:endnote w:type="continuationSeparator" w:id="0">
    <w:p w14:paraId="5C5F5DC5" w14:textId="77777777" w:rsidR="005B0A25" w:rsidRDefault="005B0A25"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5DC6"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104012">
      <w:rPr>
        <w:rStyle w:val="PageNumber"/>
        <w:b/>
        <w:caps w:val="0"/>
      </w:rPr>
      <w:t>4</w:t>
    </w:r>
    <w:r w:rsidRPr="009B18F0">
      <w:rPr>
        <w:rStyle w:val="PageNumber"/>
        <w:b/>
        <w:caps w:val="0"/>
      </w:rPr>
      <w:fldChar w:fldCharType="end"/>
    </w:r>
    <w:r>
      <w:t xml:space="preserve">  |  </w:t>
    </w:r>
    <w:r w:rsidR="00104012">
      <w:fldChar w:fldCharType="begin"/>
    </w:r>
    <w:r w:rsidR="00104012">
      <w:instrText xml:space="preserve"> STYLEREF  "Heading 1 + Sub-Heading"  \* MERGEFORMAT </w:instrText>
    </w:r>
    <w:r w:rsidR="00104012">
      <w:fldChar w:fldCharType="separate"/>
    </w:r>
    <w:r w:rsidR="00104012">
      <w:t>FII Market Entry Requirements for Turkey</w:t>
    </w:r>
    <w:r w:rsidR="00104012">
      <w:fldChar w:fldCharType="end"/>
    </w:r>
    <w:r>
      <w:rPr>
        <w:snapToGrid/>
        <w:lang w:eastAsia="en-US"/>
      </w:rPr>
      <mc:AlternateContent>
        <mc:Choice Requires="wps">
          <w:drawing>
            <wp:anchor distT="0" distB="0" distL="114300" distR="114300" simplePos="0" relativeHeight="251660288" behindDoc="0" locked="0" layoutInCell="1" allowOverlap="1" wp14:anchorId="5C5F5DCC" wp14:editId="5C5F5DCD">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5C5F5DD3" w14:textId="77777777">
                            <w:trPr>
                              <w:trHeight w:hRule="exact" w:val="547"/>
                            </w:trPr>
                            <w:tc>
                              <w:tcPr>
                                <w:tcW w:w="3096" w:type="dxa"/>
                              </w:tcPr>
                              <w:p w14:paraId="5C5F5DD2" w14:textId="77777777" w:rsidR="000720EB" w:rsidRDefault="00EA4A1F" w:rsidP="00F25609">
                                <w:pPr>
                                  <w:pStyle w:val="Draft"/>
                                </w:pPr>
                                <w:r>
                                  <w:t>Draft</w:t>
                                </w:r>
                              </w:p>
                            </w:tc>
                          </w:tr>
                        </w:tbl>
                        <w:p w14:paraId="5C5F5DD4" w14:textId="77777777" w:rsidR="000720EB" w:rsidRDefault="00104012"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F5DCC"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5C5F5DD3" w14:textId="77777777">
                      <w:trPr>
                        <w:trHeight w:hRule="exact" w:val="547"/>
                      </w:trPr>
                      <w:tc>
                        <w:tcPr>
                          <w:tcW w:w="3096" w:type="dxa"/>
                        </w:tcPr>
                        <w:p w14:paraId="5C5F5DD2" w14:textId="77777777" w:rsidR="000720EB" w:rsidRDefault="00EA4A1F" w:rsidP="00F25609">
                          <w:pPr>
                            <w:pStyle w:val="Draft"/>
                          </w:pPr>
                          <w:r>
                            <w:t>Draft</w:t>
                          </w:r>
                        </w:p>
                      </w:tc>
                    </w:tr>
                  </w:tbl>
                  <w:p w14:paraId="5C5F5DD4" w14:textId="77777777" w:rsidR="000720EB" w:rsidRDefault="00104012"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5DC8"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104012">
      <w:rPr>
        <w:rStyle w:val="PageNumber"/>
        <w:b/>
      </w:rPr>
      <w:t>1</w:t>
    </w:r>
    <w:r w:rsidRPr="00DD570C">
      <w:rPr>
        <w:rStyle w:val="PageNumber"/>
        <w:b/>
      </w:rPr>
      <w:fldChar w:fldCharType="end"/>
    </w:r>
    <w:r w:rsidRPr="00B0308B">
      <w:t xml:space="preserve">  |  </w:t>
    </w:r>
    <w:fldSimple w:instr=" STYLEREF  &quot;Heading 1 + Sub-Heading&quot;  \* MERGEFORMAT ">
      <w:r w:rsidR="00104012">
        <w:t>FII Market Entry Requirements for Turkey</w:t>
      </w:r>
    </w:fldSimple>
    <w:r>
      <w:rPr>
        <w:snapToGrid/>
        <w:lang w:eastAsia="en-US"/>
      </w:rPr>
      <mc:AlternateContent>
        <mc:Choice Requires="wps">
          <w:drawing>
            <wp:anchor distT="0" distB="0" distL="114300" distR="114300" simplePos="0" relativeHeight="251659264" behindDoc="0" locked="0" layoutInCell="1" allowOverlap="1" wp14:anchorId="5C5F5DD0" wp14:editId="5C5F5DD1">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5C5F5DD6" w14:textId="77777777">
                            <w:trPr>
                              <w:trHeight w:hRule="exact" w:val="547"/>
                            </w:trPr>
                            <w:tc>
                              <w:tcPr>
                                <w:tcW w:w="3096" w:type="dxa"/>
                              </w:tcPr>
                              <w:p w14:paraId="5C5F5DD5" w14:textId="77777777" w:rsidR="009C5B88" w:rsidRDefault="00EA4A1F" w:rsidP="00F25609">
                                <w:pPr>
                                  <w:pStyle w:val="Draft"/>
                                </w:pPr>
                                <w:r>
                                  <w:t>Draft</w:t>
                                </w:r>
                              </w:p>
                            </w:tc>
                          </w:tr>
                        </w:tbl>
                        <w:p w14:paraId="5C5F5DD7" w14:textId="77777777" w:rsidR="009C5B88" w:rsidRDefault="00104012"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F5DD0"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5C5F5DD6" w14:textId="77777777">
                      <w:trPr>
                        <w:trHeight w:hRule="exact" w:val="547"/>
                      </w:trPr>
                      <w:tc>
                        <w:tcPr>
                          <w:tcW w:w="3096" w:type="dxa"/>
                        </w:tcPr>
                        <w:p w14:paraId="5C5F5DD5" w14:textId="77777777" w:rsidR="009C5B88" w:rsidRDefault="00EA4A1F" w:rsidP="00F25609">
                          <w:pPr>
                            <w:pStyle w:val="Draft"/>
                          </w:pPr>
                          <w:r>
                            <w:t>Draft</w:t>
                          </w:r>
                        </w:p>
                      </w:tc>
                    </w:tr>
                  </w:tbl>
                  <w:p w14:paraId="5C5F5DD7" w14:textId="77777777" w:rsidR="009C5B88" w:rsidRDefault="00104012"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5DCB" w14:textId="5448D7E9" w:rsidR="00745241" w:rsidRPr="00B0308B" w:rsidRDefault="00B75DF2"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F5DC2" w14:textId="77777777" w:rsidR="005B0A25" w:rsidRDefault="005B0A25" w:rsidP="00432B3C">
      <w:pPr>
        <w:spacing w:before="0" w:after="0" w:line="240" w:lineRule="auto"/>
      </w:pPr>
      <w:r>
        <w:separator/>
      </w:r>
    </w:p>
  </w:footnote>
  <w:footnote w:type="continuationSeparator" w:id="0">
    <w:p w14:paraId="5C5F5DC3" w14:textId="77777777" w:rsidR="005B0A25" w:rsidRDefault="005B0A25"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5DC7" w14:textId="17DC2D81" w:rsidR="007D7938" w:rsidRPr="00D24DF2" w:rsidRDefault="00B75DF2" w:rsidP="00AE6A20">
    <w:pPr>
      <w:spacing w:before="0" w:after="1080"/>
    </w:pPr>
    <w:r>
      <w:rPr>
        <w:noProof/>
        <w:lang w:eastAsia="en-US"/>
      </w:rPr>
      <w:drawing>
        <wp:inline distT="0" distB="0" distL="0" distR="0" wp14:anchorId="74CA6E73" wp14:editId="14FC21A6">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5DC9" w14:textId="77777777" w:rsidR="00745241" w:rsidRDefault="001040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5DCA" w14:textId="77777777" w:rsidR="00745241" w:rsidRPr="00D24DF2" w:rsidRDefault="00104012"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2E705BD"/>
    <w:multiLevelType w:val="multilevel"/>
    <w:tmpl w:val="912C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0D05516"/>
    <w:multiLevelType w:val="multilevel"/>
    <w:tmpl w:val="C8C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4"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F270D"/>
    <w:multiLevelType w:val="hybridMultilevel"/>
    <w:tmpl w:val="0DC0052C"/>
    <w:lvl w:ilvl="0" w:tplc="A12ED008">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4"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7"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28"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9"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14"/>
  </w:num>
  <w:num w:numId="5">
    <w:abstractNumId w:val="6"/>
  </w:num>
  <w:num w:numId="6">
    <w:abstractNumId w:val="27"/>
  </w:num>
  <w:num w:numId="7">
    <w:abstractNumId w:val="21"/>
  </w:num>
  <w:num w:numId="8">
    <w:abstractNumId w:val="16"/>
  </w:num>
  <w:num w:numId="9">
    <w:abstractNumId w:val="28"/>
  </w:num>
  <w:num w:numId="10">
    <w:abstractNumId w:val="7"/>
  </w:num>
  <w:num w:numId="11">
    <w:abstractNumId w:val="13"/>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4"/>
  </w:num>
  <w:num w:numId="19">
    <w:abstractNumId w:val="25"/>
  </w:num>
  <w:num w:numId="20">
    <w:abstractNumId w:val="11"/>
  </w:num>
  <w:num w:numId="21">
    <w:abstractNumId w:val="18"/>
    <w:lvlOverride w:ilvl="0">
      <w:startOverride w:val="1"/>
    </w:lvlOverride>
  </w:num>
  <w:num w:numId="22">
    <w:abstractNumId w:val="26"/>
    <w:lvlOverride w:ilvl="0">
      <w:startOverride w:val="1"/>
    </w:lvlOverride>
  </w:num>
  <w:num w:numId="23">
    <w:abstractNumId w:val="31"/>
  </w:num>
  <w:num w:numId="24">
    <w:abstractNumId w:val="10"/>
  </w:num>
  <w:num w:numId="25">
    <w:abstractNumId w:val="32"/>
  </w:num>
  <w:num w:numId="26">
    <w:abstractNumId w:val="23"/>
  </w:num>
  <w:num w:numId="27">
    <w:abstractNumId w:val="17"/>
  </w:num>
  <w:num w:numId="28">
    <w:abstractNumId w:val="22"/>
  </w:num>
  <w:num w:numId="29">
    <w:abstractNumId w:val="19"/>
  </w:num>
  <w:num w:numId="30">
    <w:abstractNumId w:val="9"/>
  </w:num>
  <w:num w:numId="31">
    <w:abstractNumId w:val="20"/>
  </w:num>
  <w:num w:numId="32">
    <w:abstractNumId w:val="5"/>
  </w:num>
  <w:num w:numId="33">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25"/>
    <w:rsid w:val="00033D4F"/>
    <w:rsid w:val="00042BCB"/>
    <w:rsid w:val="000519C5"/>
    <w:rsid w:val="000708CB"/>
    <w:rsid w:val="0009645C"/>
    <w:rsid w:val="000D3EDC"/>
    <w:rsid w:val="000D4C29"/>
    <w:rsid w:val="000E60F6"/>
    <w:rsid w:val="00104012"/>
    <w:rsid w:val="00113A07"/>
    <w:rsid w:val="0011714C"/>
    <w:rsid w:val="00121264"/>
    <w:rsid w:val="00167968"/>
    <w:rsid w:val="001B06F9"/>
    <w:rsid w:val="00211A6B"/>
    <w:rsid w:val="00224D6A"/>
    <w:rsid w:val="00286A84"/>
    <w:rsid w:val="002B7E7F"/>
    <w:rsid w:val="002D4E31"/>
    <w:rsid w:val="00303137"/>
    <w:rsid w:val="00355B30"/>
    <w:rsid w:val="00432B3C"/>
    <w:rsid w:val="004555C7"/>
    <w:rsid w:val="0048122A"/>
    <w:rsid w:val="004D7543"/>
    <w:rsid w:val="00556460"/>
    <w:rsid w:val="00581299"/>
    <w:rsid w:val="005B0A25"/>
    <w:rsid w:val="005C490A"/>
    <w:rsid w:val="00617A84"/>
    <w:rsid w:val="00662ECA"/>
    <w:rsid w:val="00673B4C"/>
    <w:rsid w:val="00784EAC"/>
    <w:rsid w:val="00792A41"/>
    <w:rsid w:val="007A1C32"/>
    <w:rsid w:val="007D49AB"/>
    <w:rsid w:val="00816EAA"/>
    <w:rsid w:val="00820988"/>
    <w:rsid w:val="00822F93"/>
    <w:rsid w:val="00862289"/>
    <w:rsid w:val="008A3164"/>
    <w:rsid w:val="0096410B"/>
    <w:rsid w:val="00965961"/>
    <w:rsid w:val="009B131A"/>
    <w:rsid w:val="009B473C"/>
    <w:rsid w:val="009D4A71"/>
    <w:rsid w:val="00A00098"/>
    <w:rsid w:val="00A01375"/>
    <w:rsid w:val="00A035F3"/>
    <w:rsid w:val="00A04AF0"/>
    <w:rsid w:val="00A16747"/>
    <w:rsid w:val="00A4461C"/>
    <w:rsid w:val="00A63F8B"/>
    <w:rsid w:val="00A71A4F"/>
    <w:rsid w:val="00A93915"/>
    <w:rsid w:val="00AA3AB9"/>
    <w:rsid w:val="00AA6A62"/>
    <w:rsid w:val="00B146BC"/>
    <w:rsid w:val="00B23F58"/>
    <w:rsid w:val="00B3178B"/>
    <w:rsid w:val="00B54A04"/>
    <w:rsid w:val="00B75DF2"/>
    <w:rsid w:val="00B87FE2"/>
    <w:rsid w:val="00B924A2"/>
    <w:rsid w:val="00B96DBC"/>
    <w:rsid w:val="00BA436B"/>
    <w:rsid w:val="00BD6B76"/>
    <w:rsid w:val="00C042E5"/>
    <w:rsid w:val="00C3522E"/>
    <w:rsid w:val="00C47688"/>
    <w:rsid w:val="00C909B5"/>
    <w:rsid w:val="00CD1C37"/>
    <w:rsid w:val="00CF4B3E"/>
    <w:rsid w:val="00D5108C"/>
    <w:rsid w:val="00D81B4E"/>
    <w:rsid w:val="00DB5A6F"/>
    <w:rsid w:val="00DD029D"/>
    <w:rsid w:val="00DD6A4B"/>
    <w:rsid w:val="00E40E99"/>
    <w:rsid w:val="00E4777F"/>
    <w:rsid w:val="00EA4A1F"/>
    <w:rsid w:val="00EB69A3"/>
    <w:rsid w:val="00EE344B"/>
    <w:rsid w:val="00EF33E7"/>
    <w:rsid w:val="00F32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5C5F5D80"/>
  <w15:docId w15:val="{1561419B-716A-4FF1-827F-6C8409DE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Word_97_-_2003_Document1.doc"/><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991B8-EBB7-433F-ABFE-1F465585E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3BE182-85EE-4428-8B29-20D0C31BFC6F}">
  <ds:schemaRefs>
    <ds:schemaRef ds:uri="http://schemas.microsoft.com/sharepoint/v3/contenttype/forms"/>
  </ds:schemaRefs>
</ds:datastoreItem>
</file>

<file path=customXml/itemProps3.xml><?xml version="1.0" encoding="utf-8"?>
<ds:datastoreItem xmlns:ds="http://schemas.openxmlformats.org/officeDocument/2006/customXml" ds:itemID="{A8BA7E54-286D-46C5-93A4-A9AC4CFE938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5</cp:revision>
  <dcterms:created xsi:type="dcterms:W3CDTF">2021-10-12T13:21:00Z</dcterms:created>
  <dcterms:modified xsi:type="dcterms:W3CDTF">2023-06-22T20:02:00Z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7" name="_NewReviewCycle">
    <vt:lpwstr/>
  </property>
</Properties>
</file>