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5ECCE" w14:textId="77777777" w:rsidR="00432B3C" w:rsidRPr="00DD570C" w:rsidRDefault="00A4461C" w:rsidP="005B0A25">
      <w:pPr>
        <w:pStyle w:val="Heading1Sub-Heading"/>
        <w:jc w:val="both"/>
      </w:pPr>
      <w:bookmarkStart w:id="0" w:name="_Toc328144057"/>
      <w:bookmarkStart w:id="1" w:name="_Toc336594671"/>
      <w:bookmarkStart w:id="2" w:name="_Toc328144059"/>
      <w:bookmarkStart w:id="3" w:name="_Toc336594674"/>
      <w:bookmarkStart w:id="4" w:name="_GoBack"/>
      <w:bookmarkEnd w:id="4"/>
      <w:r w:rsidRPr="00A4461C">
        <w:t xml:space="preserve">FII Market Entry Requirements for </w:t>
      </w:r>
      <w:r w:rsidR="0053334D">
        <w:t>Peru</w:t>
      </w:r>
    </w:p>
    <w:tbl>
      <w:tblPr>
        <w:tblW w:w="9814" w:type="dxa"/>
        <w:tblCellSpacing w:w="15" w:type="dxa"/>
        <w:tblCellMar>
          <w:top w:w="15" w:type="dxa"/>
          <w:left w:w="15" w:type="dxa"/>
          <w:bottom w:w="15" w:type="dxa"/>
          <w:right w:w="15" w:type="dxa"/>
        </w:tblCellMar>
        <w:tblLook w:val="0000" w:firstRow="0" w:lastRow="0" w:firstColumn="0" w:lastColumn="0" w:noHBand="0" w:noVBand="0"/>
      </w:tblPr>
      <w:tblGrid>
        <w:gridCol w:w="1267"/>
        <w:gridCol w:w="8547"/>
      </w:tblGrid>
      <w:tr w:rsidR="0011714C" w14:paraId="2DC5ECD4" w14:textId="77777777" w:rsidTr="000370B8">
        <w:trPr>
          <w:trHeight w:val="4595"/>
          <w:tblCellSpacing w:w="15" w:type="dxa"/>
        </w:trPr>
        <w:tc>
          <w:tcPr>
            <w:tcW w:w="0" w:type="auto"/>
          </w:tcPr>
          <w:bookmarkEnd w:id="0"/>
          <w:bookmarkEnd w:id="1"/>
          <w:p w14:paraId="2DC5ECCF" w14:textId="77777777" w:rsidR="0011714C" w:rsidRDefault="0011714C" w:rsidP="005B0A25">
            <w:pPr>
              <w:pStyle w:val="NormalWeb"/>
              <w:jc w:val="both"/>
              <w:rPr>
                <w:rFonts w:ascii="Verdana" w:hAnsi="Verdana"/>
                <w:sz w:val="18"/>
                <w:szCs w:val="18"/>
              </w:rPr>
            </w:pPr>
            <w:r>
              <w:rPr>
                <w:rFonts w:ascii="Verdana" w:hAnsi="Verdana"/>
                <w:b/>
                <w:bCs/>
                <w:sz w:val="18"/>
                <w:szCs w:val="18"/>
              </w:rPr>
              <w:t>Important</w:t>
            </w:r>
          </w:p>
        </w:tc>
        <w:tc>
          <w:tcPr>
            <w:tcW w:w="0" w:type="auto"/>
          </w:tcPr>
          <w:p w14:paraId="2DC5ECD0" w14:textId="77777777" w:rsidR="000370B8" w:rsidRPr="000370B8" w:rsidRDefault="000370B8" w:rsidP="000370B8">
            <w:pPr>
              <w:pStyle w:val="NormalWeb"/>
              <w:jc w:val="both"/>
              <w:rPr>
                <w:rFonts w:ascii="Verdana" w:hAnsi="Verdana"/>
                <w:color w:val="757575"/>
                <w:sz w:val="18"/>
                <w:szCs w:val="18"/>
              </w:rPr>
            </w:pPr>
            <w:r w:rsidRPr="000370B8">
              <w:rPr>
                <w:rFonts w:ascii="Verdana" w:hAnsi="Verdana"/>
                <w:color w:val="757575"/>
                <w:sz w:val="18"/>
                <w:szCs w:val="18"/>
              </w:rPr>
              <w:t>In order to trade in Pe</w:t>
            </w:r>
            <w:r w:rsidR="006E78E2">
              <w:rPr>
                <w:rFonts w:ascii="Verdana" w:hAnsi="Verdana"/>
                <w:color w:val="757575"/>
                <w:sz w:val="18"/>
                <w:szCs w:val="18"/>
              </w:rPr>
              <w:t>ru, foreign investors must</w:t>
            </w:r>
            <w:r w:rsidRPr="000370B8">
              <w:rPr>
                <w:rFonts w:ascii="Verdana" w:hAnsi="Verdana"/>
                <w:color w:val="757575"/>
                <w:sz w:val="18"/>
                <w:szCs w:val="18"/>
              </w:rPr>
              <w:t xml:space="preserve"> be assigned an account number by the Caja de Valores y Liquidaciones (CAVALI), the central registrar, record keeper and settlement agent.</w:t>
            </w:r>
          </w:p>
          <w:p w14:paraId="2DC5ECD1" w14:textId="77777777" w:rsidR="000370B8" w:rsidRPr="000370B8" w:rsidRDefault="000370B8" w:rsidP="000370B8">
            <w:pPr>
              <w:pStyle w:val="NormalWeb"/>
              <w:jc w:val="both"/>
              <w:rPr>
                <w:rFonts w:ascii="Verdana" w:hAnsi="Verdana"/>
                <w:color w:val="757575"/>
                <w:sz w:val="18"/>
                <w:szCs w:val="18"/>
              </w:rPr>
            </w:pPr>
            <w:r w:rsidRPr="000370B8">
              <w:rPr>
                <w:rFonts w:ascii="Verdana" w:hAnsi="Verdana"/>
                <w:color w:val="757575"/>
                <w:sz w:val="18"/>
                <w:szCs w:val="18"/>
              </w:rPr>
              <w:t>This CAVALI number that is confirmed by our agent with the client account details must be quoted in all instructions to brokers, and the name on the CAVALI account must be identical to that of the segregated custody account opened at our agent. The entity in whose name a safekeeping account is opened, and therefore in whose name the securities are registered, will be considered the beneficial owner.</w:t>
            </w:r>
          </w:p>
          <w:p w14:paraId="2DC5ECD2" w14:textId="77777777" w:rsidR="000370B8" w:rsidRPr="000370B8" w:rsidRDefault="000370B8" w:rsidP="000370B8">
            <w:pPr>
              <w:pStyle w:val="NormalWeb"/>
              <w:jc w:val="both"/>
              <w:rPr>
                <w:rFonts w:ascii="Verdana" w:hAnsi="Verdana"/>
                <w:color w:val="757575"/>
                <w:sz w:val="18"/>
                <w:szCs w:val="18"/>
              </w:rPr>
            </w:pPr>
            <w:r w:rsidRPr="000370B8">
              <w:rPr>
                <w:rFonts w:ascii="Verdana" w:hAnsi="Verdana"/>
                <w:color w:val="757575"/>
                <w:sz w:val="18"/>
                <w:szCs w:val="18"/>
              </w:rPr>
              <w:t xml:space="preserve">Citibank may close </w:t>
            </w:r>
            <w:r>
              <w:rPr>
                <w:rFonts w:ascii="Verdana" w:hAnsi="Verdana"/>
                <w:color w:val="757575"/>
                <w:sz w:val="18"/>
                <w:szCs w:val="18"/>
              </w:rPr>
              <w:t>a</w:t>
            </w:r>
            <w:r w:rsidRPr="000370B8">
              <w:rPr>
                <w:rFonts w:ascii="Verdana" w:hAnsi="Verdana"/>
                <w:color w:val="757575"/>
                <w:sz w:val="18"/>
                <w:szCs w:val="18"/>
              </w:rPr>
              <w:t>ccount if the investor does not register any transaction during a one-year period.</w:t>
            </w:r>
          </w:p>
          <w:p w14:paraId="2DC5ECD3" w14:textId="77777777" w:rsidR="000370B8" w:rsidRPr="000370B8" w:rsidRDefault="000370B8" w:rsidP="000370B8">
            <w:pPr>
              <w:pStyle w:val="NormalWeb"/>
              <w:jc w:val="both"/>
              <w:rPr>
                <w:rFonts w:ascii="Verdana" w:hAnsi="Verdana"/>
                <w:color w:val="757575"/>
                <w:sz w:val="18"/>
                <w:szCs w:val="18"/>
              </w:rPr>
            </w:pPr>
            <w:r w:rsidRPr="000370B8">
              <w:rPr>
                <w:rFonts w:ascii="Verdana" w:hAnsi="Verdana"/>
                <w:color w:val="757575"/>
                <w:sz w:val="18"/>
                <w:szCs w:val="18"/>
              </w:rPr>
              <w:t>Note: As part of the FII account opening process all documentation must be in exactly the same investor name and on the investor's letterhead where appropriate.</w:t>
            </w:r>
          </w:p>
        </w:tc>
      </w:tr>
      <w:tr w:rsidR="0011714C" w14:paraId="2DC5ECD7" w14:textId="77777777" w:rsidTr="000370B8">
        <w:trPr>
          <w:trHeight w:val="655"/>
          <w:tblCellSpacing w:w="15" w:type="dxa"/>
        </w:trPr>
        <w:tc>
          <w:tcPr>
            <w:tcW w:w="0" w:type="auto"/>
          </w:tcPr>
          <w:p w14:paraId="2DC5ECD5" w14:textId="77777777" w:rsidR="0011714C" w:rsidRPr="005B0A25" w:rsidRDefault="0011714C" w:rsidP="005B0A25">
            <w:pPr>
              <w:jc w:val="both"/>
              <w:rPr>
                <w:rFonts w:ascii="Verdana" w:hAnsi="Verdana"/>
                <w:b/>
                <w:bCs/>
                <w:sz w:val="18"/>
                <w:szCs w:val="18"/>
              </w:rPr>
            </w:pPr>
            <w:r w:rsidRPr="005B0A25">
              <w:rPr>
                <w:rFonts w:ascii="Verdana" w:hAnsi="Verdana"/>
                <w:b/>
                <w:bCs/>
                <w:sz w:val="18"/>
                <w:szCs w:val="18"/>
              </w:rPr>
              <w:t xml:space="preserve">Fees </w:t>
            </w:r>
          </w:p>
        </w:tc>
        <w:tc>
          <w:tcPr>
            <w:tcW w:w="0" w:type="auto"/>
          </w:tcPr>
          <w:p w14:paraId="2DC5ECD6" w14:textId="77777777" w:rsidR="0011714C" w:rsidRDefault="000370B8" w:rsidP="000370B8">
            <w:pPr>
              <w:adjustRightInd/>
              <w:spacing w:before="100" w:beforeAutospacing="1" w:after="100" w:afterAutospacing="1"/>
              <w:jc w:val="both"/>
              <w:rPr>
                <w:rFonts w:ascii="Verdana" w:hAnsi="Verdana"/>
                <w:color w:val="757575"/>
                <w:sz w:val="18"/>
                <w:szCs w:val="18"/>
              </w:rPr>
            </w:pPr>
            <w:r>
              <w:rPr>
                <w:rFonts w:ascii="Verdana" w:hAnsi="Verdana"/>
                <w:color w:val="757575"/>
                <w:sz w:val="18"/>
                <w:szCs w:val="18"/>
              </w:rPr>
              <w:t>None</w:t>
            </w:r>
          </w:p>
        </w:tc>
      </w:tr>
      <w:tr w:rsidR="0011714C" w14:paraId="2DC5ECDE" w14:textId="77777777" w:rsidTr="000370B8">
        <w:trPr>
          <w:trHeight w:val="1837"/>
          <w:tblCellSpacing w:w="15" w:type="dxa"/>
        </w:trPr>
        <w:tc>
          <w:tcPr>
            <w:tcW w:w="0" w:type="auto"/>
          </w:tcPr>
          <w:p w14:paraId="2DC5ECD8" w14:textId="77777777" w:rsidR="0011714C" w:rsidRDefault="0011714C" w:rsidP="005B0A25">
            <w:pPr>
              <w:jc w:val="both"/>
              <w:rPr>
                <w:rFonts w:ascii="Verdana" w:hAnsi="Verdana"/>
                <w:b/>
                <w:bCs/>
                <w:sz w:val="18"/>
                <w:szCs w:val="18"/>
              </w:rPr>
            </w:pPr>
            <w:r w:rsidRPr="005B0A25">
              <w:rPr>
                <w:rFonts w:ascii="Verdana" w:hAnsi="Verdana"/>
                <w:b/>
                <w:bCs/>
                <w:sz w:val="18"/>
                <w:szCs w:val="18"/>
              </w:rPr>
              <w:t xml:space="preserve">Tax Consultant </w:t>
            </w:r>
          </w:p>
          <w:p w14:paraId="2DC5ECD9" w14:textId="77777777" w:rsidR="000370B8" w:rsidRDefault="000370B8" w:rsidP="005B0A25">
            <w:pPr>
              <w:jc w:val="both"/>
              <w:rPr>
                <w:rFonts w:ascii="Verdana" w:hAnsi="Verdana"/>
                <w:b/>
                <w:bCs/>
                <w:sz w:val="18"/>
                <w:szCs w:val="18"/>
              </w:rPr>
            </w:pPr>
          </w:p>
          <w:p w14:paraId="2DC5ECDA" w14:textId="77777777" w:rsidR="005B0A25" w:rsidRPr="005B0A25" w:rsidRDefault="005B0A25" w:rsidP="005B0A25">
            <w:pPr>
              <w:jc w:val="both"/>
              <w:rPr>
                <w:rFonts w:ascii="Verdana" w:hAnsi="Verdana"/>
                <w:b/>
                <w:bCs/>
                <w:sz w:val="18"/>
                <w:szCs w:val="18"/>
              </w:rPr>
            </w:pPr>
            <w:r w:rsidRPr="005B0A25">
              <w:rPr>
                <w:rFonts w:ascii="Verdana" w:hAnsi="Verdana"/>
                <w:b/>
                <w:bCs/>
                <w:sz w:val="18"/>
                <w:szCs w:val="18"/>
              </w:rPr>
              <w:t>E-signature</w:t>
            </w:r>
          </w:p>
        </w:tc>
        <w:tc>
          <w:tcPr>
            <w:tcW w:w="0" w:type="auto"/>
          </w:tcPr>
          <w:p w14:paraId="2DC5ECDB" w14:textId="77777777" w:rsidR="0011714C" w:rsidRDefault="000370B8" w:rsidP="005B0A25">
            <w:pPr>
              <w:jc w:val="both"/>
              <w:rPr>
                <w:rFonts w:ascii="Verdana" w:hAnsi="Verdana"/>
                <w:color w:val="757575"/>
                <w:sz w:val="18"/>
                <w:szCs w:val="18"/>
              </w:rPr>
            </w:pPr>
            <w:r>
              <w:rPr>
                <w:rFonts w:ascii="Verdana" w:hAnsi="Verdana"/>
                <w:color w:val="757575"/>
                <w:sz w:val="18"/>
                <w:szCs w:val="18"/>
              </w:rPr>
              <w:t>Not Required</w:t>
            </w:r>
          </w:p>
          <w:p w14:paraId="2DC5ECDC" w14:textId="77777777" w:rsidR="005B0A25" w:rsidRDefault="005B0A25" w:rsidP="005B0A25">
            <w:pPr>
              <w:jc w:val="both"/>
              <w:rPr>
                <w:rFonts w:ascii="Verdana" w:hAnsi="Verdana"/>
                <w:color w:val="757575"/>
                <w:sz w:val="18"/>
                <w:szCs w:val="18"/>
              </w:rPr>
            </w:pPr>
          </w:p>
          <w:p w14:paraId="2DC5ECDD" w14:textId="0C99ECDE" w:rsidR="005B0A25" w:rsidRDefault="005B0A25" w:rsidP="005B0A25">
            <w:pPr>
              <w:jc w:val="both"/>
              <w:rPr>
                <w:rFonts w:ascii="Verdana" w:hAnsi="Verdana"/>
                <w:color w:val="757575"/>
                <w:sz w:val="18"/>
                <w:szCs w:val="18"/>
              </w:rPr>
            </w:pPr>
            <w:r>
              <w:rPr>
                <w:rFonts w:ascii="Verdana" w:hAnsi="Verdana"/>
                <w:color w:val="757575"/>
                <w:sz w:val="18"/>
                <w:szCs w:val="18"/>
              </w:rPr>
              <w:t xml:space="preserve">  No</w:t>
            </w:r>
            <w:r w:rsidR="008C438B">
              <w:rPr>
                <w:rFonts w:ascii="Verdana" w:hAnsi="Verdana"/>
                <w:color w:val="757575"/>
                <w:sz w:val="18"/>
                <w:szCs w:val="18"/>
              </w:rPr>
              <w:t>t Accepted</w:t>
            </w:r>
          </w:p>
        </w:tc>
      </w:tr>
    </w:tbl>
    <w:p w14:paraId="2DC5ECE0" w14:textId="77777777" w:rsidR="005B0A25" w:rsidRDefault="005B0A25" w:rsidP="005B0A25">
      <w:pPr>
        <w:pStyle w:val="Heading2"/>
        <w:jc w:val="both"/>
      </w:pPr>
    </w:p>
    <w:p w14:paraId="2DC5ECE1" w14:textId="77777777" w:rsidR="005B0A25" w:rsidRDefault="005B0A25" w:rsidP="005B0A25">
      <w:pPr>
        <w:pStyle w:val="Heading2"/>
        <w:jc w:val="both"/>
      </w:pPr>
    </w:p>
    <w:p w14:paraId="2DC5ECE2" w14:textId="77777777" w:rsidR="005B0A25" w:rsidRDefault="005B0A25" w:rsidP="005B0A25">
      <w:pPr>
        <w:pStyle w:val="Heading2"/>
        <w:jc w:val="both"/>
      </w:pPr>
    </w:p>
    <w:p w14:paraId="2DC5ECE3" w14:textId="77777777" w:rsidR="005B0A25" w:rsidRDefault="005B0A25" w:rsidP="005B0A25">
      <w:pPr>
        <w:pStyle w:val="Heading2"/>
        <w:jc w:val="both"/>
      </w:pPr>
    </w:p>
    <w:p w14:paraId="2DC5ECE4" w14:textId="77777777" w:rsidR="005B0A25" w:rsidRDefault="005B0A25" w:rsidP="005B0A25">
      <w:pPr>
        <w:pStyle w:val="Heading2"/>
        <w:jc w:val="both"/>
      </w:pPr>
    </w:p>
    <w:p w14:paraId="2DC5ECE5" w14:textId="77777777" w:rsidR="005B0A25" w:rsidRDefault="005B0A25" w:rsidP="005B0A25">
      <w:pPr>
        <w:pStyle w:val="Heading2"/>
        <w:jc w:val="both"/>
      </w:pPr>
    </w:p>
    <w:p w14:paraId="0820AAD6" w14:textId="4997EB11" w:rsidR="008C438B" w:rsidRDefault="008C438B" w:rsidP="008C438B">
      <w:pPr>
        <w:pStyle w:val="BodyText"/>
      </w:pPr>
    </w:p>
    <w:p w14:paraId="68F2E714" w14:textId="77777777" w:rsidR="008C438B" w:rsidRDefault="008C438B" w:rsidP="008C438B">
      <w:pPr>
        <w:pStyle w:val="BodyText"/>
      </w:pPr>
    </w:p>
    <w:p w14:paraId="76B1EEB6" w14:textId="77777777" w:rsidR="009C6753" w:rsidRDefault="009C6753" w:rsidP="008C438B">
      <w:pPr>
        <w:pStyle w:val="BodyText"/>
      </w:pPr>
    </w:p>
    <w:p w14:paraId="2DC5ECE6" w14:textId="77777777" w:rsidR="00432B3C" w:rsidRPr="003C744E" w:rsidRDefault="00A4461C" w:rsidP="005B0A25">
      <w:pPr>
        <w:pStyle w:val="Heading2"/>
        <w:jc w:val="both"/>
      </w:pPr>
      <w:r w:rsidRPr="00A4461C">
        <w:t>Account Opening</w:t>
      </w:r>
    </w:p>
    <w:p w14:paraId="2DC5ECE7" w14:textId="77777777" w:rsidR="000370B8" w:rsidRDefault="000370B8" w:rsidP="000370B8">
      <w:pPr>
        <w:pStyle w:val="NormalWeb"/>
        <w:spacing w:after="0"/>
        <w:jc w:val="both"/>
        <w:rPr>
          <w:rFonts w:ascii="Verdana" w:hAnsi="Verdana"/>
          <w:b/>
          <w:sz w:val="18"/>
          <w:szCs w:val="18"/>
        </w:rPr>
      </w:pPr>
      <w:bookmarkStart w:id="5" w:name="_Toc336594673"/>
      <w:bookmarkStart w:id="6" w:name="_Toc385322899"/>
      <w:r w:rsidRPr="00C457C6">
        <w:rPr>
          <w:rFonts w:ascii="Verdana" w:hAnsi="Verdana"/>
          <w:b/>
          <w:sz w:val="18"/>
          <w:szCs w:val="18"/>
        </w:rPr>
        <w:t xml:space="preserve">Documentation </w:t>
      </w:r>
      <w:r>
        <w:rPr>
          <w:rFonts w:ascii="Verdana" w:hAnsi="Verdana"/>
          <w:b/>
          <w:sz w:val="18"/>
          <w:szCs w:val="18"/>
        </w:rPr>
        <w:t>Required by the Agent</w:t>
      </w:r>
    </w:p>
    <w:p w14:paraId="2DC5ECE8" w14:textId="77777777" w:rsidR="000370B8" w:rsidRDefault="000370B8" w:rsidP="000370B8">
      <w:pPr>
        <w:pStyle w:val="NormalWeb"/>
        <w:spacing w:after="0"/>
        <w:jc w:val="both"/>
        <w:rPr>
          <w:rFonts w:ascii="Verdana" w:hAnsi="Verdana"/>
          <w:color w:val="757575"/>
          <w:sz w:val="18"/>
          <w:szCs w:val="18"/>
        </w:rPr>
      </w:pPr>
      <w:r w:rsidRPr="00D04AD7">
        <w:rPr>
          <w:rFonts w:ascii="Verdana" w:hAnsi="Verdana"/>
          <w:color w:val="757575"/>
          <w:sz w:val="18"/>
          <w:szCs w:val="18"/>
        </w:rPr>
        <w:t xml:space="preserve">No documents are required for account opening in </w:t>
      </w:r>
      <w:r>
        <w:rPr>
          <w:rFonts w:ascii="Verdana" w:hAnsi="Verdana"/>
          <w:color w:val="757575"/>
          <w:sz w:val="18"/>
          <w:szCs w:val="18"/>
        </w:rPr>
        <w:t>Peru</w:t>
      </w:r>
      <w:r w:rsidRPr="00D04AD7">
        <w:rPr>
          <w:rFonts w:ascii="Verdana" w:hAnsi="Verdana"/>
          <w:color w:val="757575"/>
          <w:sz w:val="18"/>
          <w:szCs w:val="18"/>
        </w:rPr>
        <w:t>. However, it is prudent to hold on records client documents to show the legal existence of the client in case the agent or the country regulator requests it.</w:t>
      </w:r>
    </w:p>
    <w:p w14:paraId="2DC5ECE9" w14:textId="63AE551B" w:rsidR="000370B8" w:rsidRPr="003F7EB6" w:rsidRDefault="003F7EB6" w:rsidP="000370B8">
      <w:pPr>
        <w:pStyle w:val="NormalWeb"/>
        <w:spacing w:after="0"/>
        <w:jc w:val="both"/>
        <w:rPr>
          <w:rFonts w:ascii="Verdana" w:hAnsi="Verdana"/>
          <w:b/>
          <w:color w:val="757575"/>
          <w:sz w:val="18"/>
          <w:szCs w:val="18"/>
        </w:rPr>
      </w:pPr>
      <w:r w:rsidRPr="003F7EB6">
        <w:rPr>
          <w:rFonts w:ascii="Verdana" w:hAnsi="Verdana"/>
          <w:b/>
          <w:color w:val="757575"/>
          <w:sz w:val="18"/>
          <w:szCs w:val="18"/>
        </w:rPr>
        <w:t>Information required from clients.</w:t>
      </w:r>
    </w:p>
    <w:p w14:paraId="53370880" w14:textId="70D3504D" w:rsidR="003F7EB6" w:rsidRPr="003F7EB6" w:rsidRDefault="003F7EB6" w:rsidP="003F7EB6">
      <w:pPr>
        <w:pStyle w:val="NormalWeb"/>
        <w:numPr>
          <w:ilvl w:val="0"/>
          <w:numId w:val="35"/>
        </w:numPr>
        <w:spacing w:before="0" w:after="0"/>
        <w:jc w:val="both"/>
        <w:rPr>
          <w:rFonts w:ascii="Verdana" w:hAnsi="Verdana"/>
          <w:color w:val="757575"/>
          <w:sz w:val="18"/>
          <w:szCs w:val="18"/>
        </w:rPr>
      </w:pPr>
      <w:r>
        <w:rPr>
          <w:rFonts w:ascii="Verdana" w:hAnsi="Verdana"/>
          <w:color w:val="757575"/>
          <w:sz w:val="18"/>
          <w:szCs w:val="18"/>
        </w:rPr>
        <w:t>Type of Investor</w:t>
      </w:r>
      <w:r w:rsidRPr="003F7EB6">
        <w:rPr>
          <w:rFonts w:ascii="Verdana" w:hAnsi="Verdana"/>
          <w:color w:val="757575"/>
          <w:sz w:val="18"/>
          <w:szCs w:val="18"/>
        </w:rPr>
        <w:t>: (mutual fund/mutual investment fund/etc...)</w:t>
      </w:r>
    </w:p>
    <w:p w14:paraId="014DEAB9" w14:textId="101DB070" w:rsidR="003F7EB6" w:rsidRPr="003F7EB6" w:rsidRDefault="003F7EB6" w:rsidP="003F7EB6">
      <w:pPr>
        <w:pStyle w:val="NormalWeb"/>
        <w:numPr>
          <w:ilvl w:val="0"/>
          <w:numId w:val="35"/>
        </w:numPr>
        <w:spacing w:before="0" w:after="0"/>
        <w:jc w:val="both"/>
        <w:rPr>
          <w:rFonts w:ascii="Verdana" w:hAnsi="Verdana"/>
          <w:color w:val="757575"/>
          <w:sz w:val="18"/>
          <w:szCs w:val="18"/>
        </w:rPr>
      </w:pPr>
      <w:r>
        <w:rPr>
          <w:rFonts w:ascii="Verdana" w:hAnsi="Verdana"/>
          <w:color w:val="757575"/>
          <w:sz w:val="18"/>
          <w:szCs w:val="18"/>
        </w:rPr>
        <w:t>Final beneficiary’</w:t>
      </w:r>
      <w:r w:rsidRPr="003F7EB6">
        <w:rPr>
          <w:rFonts w:ascii="Verdana" w:hAnsi="Verdana"/>
          <w:color w:val="757575"/>
          <w:sz w:val="18"/>
          <w:szCs w:val="18"/>
        </w:rPr>
        <w:t>s Tax ID Number in its country of origin: xxx</w:t>
      </w:r>
    </w:p>
    <w:p w14:paraId="253274FB" w14:textId="42AF2E6D" w:rsidR="003F7EB6" w:rsidRPr="003F7EB6" w:rsidRDefault="003F7EB6" w:rsidP="003F7EB6">
      <w:pPr>
        <w:pStyle w:val="NormalWeb"/>
        <w:numPr>
          <w:ilvl w:val="0"/>
          <w:numId w:val="35"/>
        </w:numPr>
        <w:spacing w:before="0" w:after="0"/>
        <w:jc w:val="both"/>
        <w:rPr>
          <w:rFonts w:ascii="Verdana" w:hAnsi="Verdana"/>
          <w:color w:val="757575"/>
          <w:sz w:val="18"/>
          <w:szCs w:val="18"/>
        </w:rPr>
      </w:pPr>
      <w:r>
        <w:rPr>
          <w:rFonts w:ascii="Verdana" w:hAnsi="Verdana"/>
          <w:color w:val="757575"/>
          <w:sz w:val="18"/>
          <w:szCs w:val="18"/>
        </w:rPr>
        <w:t>Legal/</w:t>
      </w:r>
      <w:r w:rsidRPr="003F7EB6">
        <w:rPr>
          <w:rFonts w:ascii="Verdana" w:hAnsi="Verdana"/>
          <w:color w:val="757575"/>
          <w:sz w:val="18"/>
          <w:szCs w:val="18"/>
        </w:rPr>
        <w:t>R</w:t>
      </w:r>
      <w:r>
        <w:rPr>
          <w:rFonts w:ascii="Verdana" w:hAnsi="Verdana"/>
          <w:color w:val="757575"/>
          <w:sz w:val="18"/>
          <w:szCs w:val="18"/>
        </w:rPr>
        <w:t>egistered</w:t>
      </w:r>
      <w:r w:rsidRPr="003F7EB6">
        <w:rPr>
          <w:rFonts w:ascii="Verdana" w:hAnsi="Verdana"/>
          <w:color w:val="757575"/>
          <w:sz w:val="18"/>
          <w:szCs w:val="18"/>
        </w:rPr>
        <w:t xml:space="preserve"> A</w:t>
      </w:r>
      <w:r>
        <w:rPr>
          <w:rFonts w:ascii="Verdana" w:hAnsi="Verdana"/>
          <w:color w:val="757575"/>
          <w:sz w:val="18"/>
          <w:szCs w:val="18"/>
        </w:rPr>
        <w:t>ddress</w:t>
      </w:r>
      <w:r w:rsidRPr="003F7EB6">
        <w:rPr>
          <w:rFonts w:ascii="Verdana" w:hAnsi="Verdana"/>
          <w:color w:val="757575"/>
          <w:sz w:val="18"/>
          <w:szCs w:val="18"/>
        </w:rPr>
        <w:t>: xxx</w:t>
      </w:r>
    </w:p>
    <w:p w14:paraId="1BBE7663" w14:textId="77777777" w:rsidR="003F7EB6" w:rsidRPr="003F7EB6" w:rsidRDefault="003F7EB6" w:rsidP="003F7EB6">
      <w:pPr>
        <w:pStyle w:val="NormalWeb"/>
        <w:numPr>
          <w:ilvl w:val="0"/>
          <w:numId w:val="35"/>
        </w:numPr>
        <w:spacing w:before="0" w:after="0"/>
        <w:jc w:val="both"/>
        <w:rPr>
          <w:rFonts w:ascii="Verdana" w:hAnsi="Verdana"/>
          <w:color w:val="757575"/>
          <w:sz w:val="18"/>
          <w:szCs w:val="18"/>
        </w:rPr>
      </w:pPr>
      <w:r w:rsidRPr="003F7EB6">
        <w:rPr>
          <w:rFonts w:ascii="Verdana" w:hAnsi="Verdana"/>
          <w:color w:val="757575"/>
          <w:sz w:val="18"/>
          <w:szCs w:val="18"/>
        </w:rPr>
        <w:t>Country of Incorporation: xxx</w:t>
      </w:r>
    </w:p>
    <w:p w14:paraId="74D07197" w14:textId="77777777" w:rsidR="003F7EB6" w:rsidRPr="003F7EB6" w:rsidRDefault="003F7EB6" w:rsidP="003F7EB6">
      <w:pPr>
        <w:pStyle w:val="NormalWeb"/>
        <w:numPr>
          <w:ilvl w:val="0"/>
          <w:numId w:val="35"/>
        </w:numPr>
        <w:spacing w:before="0" w:after="0"/>
        <w:jc w:val="both"/>
        <w:rPr>
          <w:rFonts w:ascii="Verdana" w:hAnsi="Verdana"/>
          <w:color w:val="757575"/>
          <w:sz w:val="18"/>
          <w:szCs w:val="18"/>
        </w:rPr>
      </w:pPr>
      <w:r w:rsidRPr="003F7EB6">
        <w:rPr>
          <w:rFonts w:ascii="Verdana" w:hAnsi="Verdana"/>
          <w:color w:val="757575"/>
          <w:sz w:val="18"/>
          <w:szCs w:val="18"/>
        </w:rPr>
        <w:t>Residency/Nationality: xxx</w:t>
      </w:r>
    </w:p>
    <w:p w14:paraId="3E587C88" w14:textId="77777777" w:rsidR="003F7EB6" w:rsidRDefault="003F7EB6" w:rsidP="000370B8">
      <w:pPr>
        <w:pStyle w:val="NormalWeb"/>
        <w:spacing w:after="0"/>
        <w:jc w:val="both"/>
        <w:rPr>
          <w:rFonts w:ascii="Verdana" w:hAnsi="Verdana"/>
          <w:color w:val="757575"/>
          <w:sz w:val="18"/>
          <w:szCs w:val="18"/>
        </w:rPr>
      </w:pPr>
    </w:p>
    <w:p w14:paraId="4C41AE8A" w14:textId="6ED92BBF" w:rsidR="008C438B" w:rsidRDefault="008C438B" w:rsidP="000370B8">
      <w:pPr>
        <w:pStyle w:val="NormalWeb"/>
        <w:spacing w:after="0"/>
        <w:jc w:val="both"/>
        <w:rPr>
          <w:rFonts w:ascii="Verdana" w:hAnsi="Verdana"/>
          <w:color w:val="757575"/>
          <w:sz w:val="18"/>
          <w:szCs w:val="18"/>
        </w:rPr>
      </w:pPr>
    </w:p>
    <w:p w14:paraId="3FC11F43" w14:textId="77777777" w:rsidR="008C438B" w:rsidRDefault="008C438B" w:rsidP="000370B8">
      <w:pPr>
        <w:pStyle w:val="NormalWeb"/>
        <w:spacing w:after="0"/>
        <w:jc w:val="both"/>
        <w:rPr>
          <w:rFonts w:ascii="Verdana" w:hAnsi="Verdana"/>
          <w:color w:val="757575"/>
          <w:sz w:val="18"/>
          <w:szCs w:val="18"/>
        </w:rPr>
      </w:pPr>
    </w:p>
    <w:p w14:paraId="4DBA88A7" w14:textId="77777777" w:rsidR="008C438B" w:rsidRDefault="008C438B" w:rsidP="000370B8">
      <w:pPr>
        <w:pStyle w:val="NormalWeb"/>
        <w:spacing w:after="0"/>
        <w:jc w:val="both"/>
        <w:rPr>
          <w:rFonts w:ascii="Verdana" w:hAnsi="Verdana"/>
          <w:color w:val="757575"/>
          <w:sz w:val="18"/>
          <w:szCs w:val="18"/>
        </w:rPr>
      </w:pPr>
    </w:p>
    <w:p w14:paraId="63532C0F" w14:textId="77777777" w:rsidR="008C438B" w:rsidRDefault="008C438B" w:rsidP="000370B8">
      <w:pPr>
        <w:pStyle w:val="NormalWeb"/>
        <w:spacing w:after="0"/>
        <w:jc w:val="both"/>
        <w:rPr>
          <w:rFonts w:ascii="Verdana" w:hAnsi="Verdana"/>
          <w:color w:val="757575"/>
          <w:sz w:val="18"/>
          <w:szCs w:val="1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295"/>
        <w:gridCol w:w="8550"/>
      </w:tblGrid>
      <w:tr w:rsidR="00B87FE2" w:rsidRPr="00DB69BC" w14:paraId="2DC5ECED" w14:textId="77777777" w:rsidTr="00935652">
        <w:trPr>
          <w:tblCellSpacing w:w="15" w:type="dxa"/>
        </w:trPr>
        <w:tc>
          <w:tcPr>
            <w:tcW w:w="0" w:type="auto"/>
          </w:tcPr>
          <w:p w14:paraId="2DC5ECEA" w14:textId="77777777" w:rsidR="00B87FE2" w:rsidRDefault="00B87FE2" w:rsidP="00935652">
            <w:pPr>
              <w:pStyle w:val="NormalWeb"/>
              <w:jc w:val="both"/>
              <w:rPr>
                <w:rFonts w:ascii="Verdana" w:hAnsi="Verdana"/>
                <w:sz w:val="18"/>
                <w:szCs w:val="18"/>
              </w:rPr>
            </w:pPr>
            <w:r>
              <w:rPr>
                <w:rFonts w:ascii="Verdana" w:hAnsi="Verdana"/>
                <w:b/>
                <w:bCs/>
                <w:sz w:val="18"/>
                <w:szCs w:val="18"/>
              </w:rPr>
              <w:t>Timing</w:t>
            </w:r>
          </w:p>
        </w:tc>
        <w:tc>
          <w:tcPr>
            <w:tcW w:w="0" w:type="auto"/>
          </w:tcPr>
          <w:p w14:paraId="2DC5ECEB" w14:textId="77777777" w:rsidR="00B87FE2" w:rsidRDefault="00B87FE2" w:rsidP="00935652">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market timeframe for opening accounts is </w:t>
            </w:r>
            <w:r w:rsidR="000370B8">
              <w:rPr>
                <w:rFonts w:ascii="Verdana" w:hAnsi="Verdana"/>
                <w:color w:val="757575"/>
                <w:sz w:val="18"/>
                <w:szCs w:val="18"/>
                <w:lang w:eastAsia="en-GB"/>
              </w:rPr>
              <w:t>7</w:t>
            </w:r>
            <w:r>
              <w:rPr>
                <w:rFonts w:ascii="Verdana" w:hAnsi="Verdana"/>
                <w:color w:val="757575"/>
                <w:sz w:val="18"/>
                <w:szCs w:val="18"/>
                <w:lang w:eastAsia="en-GB"/>
              </w:rPr>
              <w:t xml:space="preserve"> business days</w:t>
            </w:r>
            <w:r w:rsidRPr="00A4461C">
              <w:rPr>
                <w:rFonts w:ascii="Verdana" w:hAnsi="Verdana"/>
                <w:color w:val="757575"/>
                <w:sz w:val="18"/>
                <w:szCs w:val="18"/>
                <w:lang w:eastAsia="en-GB"/>
              </w:rPr>
              <w:t xml:space="preserve"> post completion and acceptance of documents by the agent. </w:t>
            </w:r>
          </w:p>
          <w:p w14:paraId="2DC5ECEC" w14:textId="77777777" w:rsidR="00B87FE2" w:rsidRPr="00D12E2C" w:rsidRDefault="00B87FE2" w:rsidP="000370B8">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documents may also be subject to regulatory and KYC checks and additional documents may be requested by the agent/market </w:t>
            </w:r>
            <w:r w:rsidR="006E78E2" w:rsidRPr="00A4461C">
              <w:rPr>
                <w:rFonts w:ascii="Verdana" w:hAnsi="Verdana"/>
                <w:color w:val="757575"/>
                <w:sz w:val="18"/>
                <w:szCs w:val="18"/>
                <w:lang w:eastAsia="en-GB"/>
              </w:rPr>
              <w:t>authorities, which</w:t>
            </w:r>
            <w:r w:rsidRPr="00A4461C">
              <w:rPr>
                <w:rFonts w:ascii="Verdana" w:hAnsi="Verdana"/>
                <w:color w:val="757575"/>
                <w:sz w:val="18"/>
                <w:szCs w:val="18"/>
                <w:lang w:eastAsia="en-GB"/>
              </w:rPr>
              <w:t xml:space="preserve"> could potentially extend the normal processing time.</w:t>
            </w:r>
          </w:p>
        </w:tc>
      </w:tr>
      <w:tr w:rsidR="00B87FE2" w14:paraId="2DC5ECF0" w14:textId="77777777" w:rsidTr="00935652">
        <w:trPr>
          <w:tblCellSpacing w:w="15" w:type="dxa"/>
        </w:trPr>
        <w:tc>
          <w:tcPr>
            <w:tcW w:w="0" w:type="auto"/>
          </w:tcPr>
          <w:p w14:paraId="2DC5ECEE" w14:textId="77777777" w:rsidR="00B87FE2" w:rsidRDefault="00B87FE2" w:rsidP="00935652">
            <w:pPr>
              <w:pStyle w:val="NormalWeb"/>
              <w:jc w:val="both"/>
              <w:rPr>
                <w:rFonts w:ascii="Verdana" w:hAnsi="Verdana"/>
                <w:sz w:val="18"/>
                <w:szCs w:val="18"/>
              </w:rPr>
            </w:pPr>
            <w:r>
              <w:rPr>
                <w:rFonts w:ascii="Verdana" w:hAnsi="Verdana"/>
                <w:b/>
                <w:bCs/>
                <w:sz w:val="18"/>
                <w:szCs w:val="18"/>
              </w:rPr>
              <w:t>Sub-Custodian</w:t>
            </w:r>
          </w:p>
        </w:tc>
        <w:tc>
          <w:tcPr>
            <w:tcW w:w="0" w:type="auto"/>
          </w:tcPr>
          <w:p w14:paraId="2DC5ECEF" w14:textId="033FA091" w:rsidR="00B87FE2" w:rsidRPr="00D12E2C" w:rsidRDefault="00205788" w:rsidP="00935652">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B87FE2" w:rsidRPr="00B87FE2">
              <w:rPr>
                <w:rFonts w:ascii="Verdana" w:hAnsi="Verdana"/>
                <w:color w:val="757575"/>
                <w:sz w:val="18"/>
                <w:szCs w:val="18"/>
                <w:lang w:eastAsia="en-GB"/>
              </w:rPr>
              <w:t>S</w:t>
            </w:r>
            <w:r w:rsidR="00B87FE2" w:rsidRPr="00673B4C">
              <w:rPr>
                <w:rFonts w:ascii="Verdana" w:hAnsi="Verdana"/>
                <w:color w:val="757575"/>
                <w:sz w:val="18"/>
                <w:szCs w:val="18"/>
                <w:lang w:eastAsia="en-GB"/>
              </w:rPr>
              <w:t xml:space="preserve"> </w:t>
            </w:r>
            <w:r w:rsidR="000370B8" w:rsidRPr="000370B8">
              <w:rPr>
                <w:rFonts w:ascii="Verdana" w:hAnsi="Verdana"/>
                <w:color w:val="757575"/>
                <w:sz w:val="18"/>
                <w:szCs w:val="18"/>
                <w:lang w:eastAsia="en-GB"/>
              </w:rPr>
              <w:t>appointed Citibank Lima as our agent. Their role is to process the application, request the assignment of a CAVALI account, and open the segregated custody account.</w:t>
            </w:r>
          </w:p>
        </w:tc>
      </w:tr>
      <w:tr w:rsidR="00B87FE2" w:rsidRPr="00DB69BC" w14:paraId="2DC5ECF3" w14:textId="77777777" w:rsidTr="00935652">
        <w:trPr>
          <w:tblCellSpacing w:w="15" w:type="dxa"/>
        </w:trPr>
        <w:tc>
          <w:tcPr>
            <w:tcW w:w="0" w:type="auto"/>
          </w:tcPr>
          <w:p w14:paraId="2DC5ECF1" w14:textId="77777777" w:rsidR="00B87FE2" w:rsidRDefault="00B87FE2" w:rsidP="00935652">
            <w:pPr>
              <w:pStyle w:val="NormalWeb"/>
              <w:jc w:val="both"/>
              <w:rPr>
                <w:rFonts w:ascii="Verdana" w:hAnsi="Verdana"/>
                <w:sz w:val="18"/>
                <w:szCs w:val="18"/>
              </w:rPr>
            </w:pPr>
            <w:r>
              <w:rPr>
                <w:rFonts w:ascii="Verdana" w:hAnsi="Verdana"/>
                <w:b/>
                <w:bCs/>
                <w:sz w:val="18"/>
                <w:szCs w:val="18"/>
              </w:rPr>
              <w:t xml:space="preserve">Further Details </w:t>
            </w:r>
          </w:p>
        </w:tc>
        <w:tc>
          <w:tcPr>
            <w:tcW w:w="0" w:type="auto"/>
          </w:tcPr>
          <w:p w14:paraId="2DC5ECF2" w14:textId="77777777" w:rsidR="00B87FE2" w:rsidRPr="00D12E2C" w:rsidRDefault="006E78E2" w:rsidP="006E78E2">
            <w:pPr>
              <w:pStyle w:val="NormalWeb"/>
              <w:jc w:val="both"/>
              <w:rPr>
                <w:rFonts w:ascii="Verdana" w:hAnsi="Verdana"/>
                <w:color w:val="757575"/>
                <w:sz w:val="18"/>
                <w:szCs w:val="18"/>
                <w:lang w:eastAsia="en-GB"/>
              </w:rPr>
            </w:pPr>
            <w:r>
              <w:rPr>
                <w:rFonts w:ascii="Verdana" w:hAnsi="Verdana"/>
                <w:color w:val="757575"/>
                <w:sz w:val="18"/>
                <w:szCs w:val="18"/>
                <w:lang w:eastAsia="en-GB"/>
              </w:rPr>
              <w:t>Any change of</w:t>
            </w:r>
            <w:r w:rsidRPr="006E78E2">
              <w:rPr>
                <w:rFonts w:ascii="Verdana" w:hAnsi="Verdana"/>
                <w:color w:val="757575"/>
                <w:sz w:val="18"/>
                <w:szCs w:val="18"/>
                <w:lang w:eastAsia="en-GB"/>
              </w:rPr>
              <w:t xml:space="preserve"> registered ad</w:t>
            </w:r>
            <w:r>
              <w:rPr>
                <w:rFonts w:ascii="Verdana" w:hAnsi="Verdana"/>
                <w:color w:val="757575"/>
                <w:sz w:val="18"/>
                <w:szCs w:val="18"/>
                <w:lang w:eastAsia="en-GB"/>
              </w:rPr>
              <w:t>dress must be reported to agent.</w:t>
            </w:r>
          </w:p>
        </w:tc>
      </w:tr>
    </w:tbl>
    <w:p w14:paraId="2DC5ECF4" w14:textId="77777777" w:rsidR="00B87FE2" w:rsidRDefault="00B87FE2" w:rsidP="005B0A25">
      <w:pPr>
        <w:ind w:left="360" w:hanging="360"/>
        <w:jc w:val="both"/>
        <w:rPr>
          <w:rFonts w:ascii="Verdana" w:hAnsi="Verdana"/>
          <w:color w:val="757575"/>
          <w:sz w:val="18"/>
          <w:szCs w:val="18"/>
          <w:lang w:val="en-GB"/>
        </w:rPr>
      </w:pPr>
    </w:p>
    <w:p w14:paraId="2DC5ECF5" w14:textId="77777777" w:rsidR="00B87FE2" w:rsidRDefault="00B87FE2" w:rsidP="005B0A25">
      <w:pPr>
        <w:ind w:left="360" w:hanging="360"/>
        <w:jc w:val="both"/>
        <w:rPr>
          <w:rFonts w:ascii="Verdana" w:hAnsi="Verdana"/>
          <w:color w:val="757575"/>
          <w:sz w:val="18"/>
          <w:szCs w:val="18"/>
          <w:lang w:val="en-GB"/>
        </w:rPr>
      </w:pPr>
    </w:p>
    <w:p w14:paraId="1B2A4C72" w14:textId="4E218F34" w:rsidR="008C438B" w:rsidRDefault="008C438B" w:rsidP="005B0A25">
      <w:pPr>
        <w:ind w:left="360" w:hanging="360"/>
        <w:jc w:val="both"/>
        <w:rPr>
          <w:rFonts w:ascii="Verdana" w:hAnsi="Verdana"/>
          <w:color w:val="757575"/>
          <w:sz w:val="18"/>
          <w:szCs w:val="18"/>
          <w:lang w:val="en-GB"/>
        </w:rPr>
      </w:pPr>
    </w:p>
    <w:p w14:paraId="5BF7D7E0" w14:textId="77777777" w:rsidR="008C438B" w:rsidRDefault="008C438B" w:rsidP="005B0A25">
      <w:pPr>
        <w:ind w:left="360" w:hanging="360"/>
        <w:jc w:val="both"/>
        <w:rPr>
          <w:rFonts w:ascii="Verdana" w:hAnsi="Verdana"/>
          <w:color w:val="757575"/>
          <w:sz w:val="18"/>
          <w:szCs w:val="18"/>
          <w:lang w:val="en-GB"/>
        </w:rPr>
      </w:pPr>
    </w:p>
    <w:p w14:paraId="0C7AD6C1" w14:textId="77777777" w:rsidR="008C438B" w:rsidRDefault="008C438B" w:rsidP="005B0A25">
      <w:pPr>
        <w:ind w:left="360" w:hanging="360"/>
        <w:jc w:val="both"/>
        <w:rPr>
          <w:rFonts w:ascii="Verdana" w:hAnsi="Verdana"/>
          <w:color w:val="757575"/>
          <w:sz w:val="18"/>
          <w:szCs w:val="18"/>
          <w:lang w:val="en-GB"/>
        </w:rPr>
      </w:pPr>
    </w:p>
    <w:p w14:paraId="32E71EBC" w14:textId="77777777" w:rsidR="008C438B" w:rsidRDefault="008C438B" w:rsidP="005B0A25">
      <w:pPr>
        <w:ind w:left="360" w:hanging="360"/>
        <w:jc w:val="both"/>
        <w:rPr>
          <w:rFonts w:ascii="Verdana" w:hAnsi="Verdana"/>
          <w:color w:val="757575"/>
          <w:sz w:val="18"/>
          <w:szCs w:val="18"/>
          <w:lang w:val="en-GB"/>
        </w:rPr>
      </w:pPr>
    </w:p>
    <w:p w14:paraId="35CBA26C" w14:textId="77777777" w:rsidR="008C438B" w:rsidRDefault="008C438B" w:rsidP="005B0A25">
      <w:pPr>
        <w:ind w:left="360" w:hanging="360"/>
        <w:jc w:val="both"/>
        <w:rPr>
          <w:rFonts w:ascii="Verdana" w:hAnsi="Verdana"/>
          <w:color w:val="757575"/>
          <w:sz w:val="18"/>
          <w:szCs w:val="18"/>
          <w:lang w:val="en-GB"/>
        </w:rPr>
      </w:pPr>
    </w:p>
    <w:p w14:paraId="25E73210" w14:textId="77777777" w:rsidR="008C438B" w:rsidRDefault="008C438B" w:rsidP="005B0A25">
      <w:pPr>
        <w:ind w:left="360" w:hanging="360"/>
        <w:jc w:val="both"/>
        <w:rPr>
          <w:rFonts w:ascii="Verdana" w:hAnsi="Verdana"/>
          <w:color w:val="757575"/>
          <w:sz w:val="18"/>
          <w:szCs w:val="18"/>
          <w:lang w:val="en-GB"/>
        </w:rPr>
      </w:pPr>
    </w:p>
    <w:p w14:paraId="41C5C04C" w14:textId="77777777" w:rsidR="008C438B" w:rsidRDefault="008C438B" w:rsidP="005B0A25">
      <w:pPr>
        <w:ind w:left="360" w:hanging="360"/>
        <w:jc w:val="both"/>
        <w:rPr>
          <w:rFonts w:ascii="Verdana" w:hAnsi="Verdana"/>
          <w:color w:val="757575"/>
          <w:sz w:val="18"/>
          <w:szCs w:val="18"/>
          <w:lang w:val="en-GB"/>
        </w:rPr>
      </w:pPr>
    </w:p>
    <w:p w14:paraId="51CEFD3C" w14:textId="77777777" w:rsidR="008C438B" w:rsidRDefault="008C438B" w:rsidP="005B0A25">
      <w:pPr>
        <w:ind w:left="360" w:hanging="360"/>
        <w:jc w:val="both"/>
        <w:rPr>
          <w:rFonts w:ascii="Verdana" w:hAnsi="Verdana"/>
          <w:color w:val="757575"/>
          <w:sz w:val="18"/>
          <w:szCs w:val="18"/>
          <w:lang w:val="en-GB"/>
        </w:rPr>
      </w:pPr>
    </w:p>
    <w:p w14:paraId="3A0A8211" w14:textId="77777777" w:rsidR="008C438B" w:rsidRDefault="008C438B" w:rsidP="005B0A25">
      <w:pPr>
        <w:ind w:left="360" w:hanging="360"/>
        <w:jc w:val="both"/>
        <w:rPr>
          <w:rFonts w:ascii="Verdana" w:hAnsi="Verdana"/>
          <w:color w:val="757575"/>
          <w:sz w:val="18"/>
          <w:szCs w:val="18"/>
          <w:lang w:val="en-GB"/>
        </w:rPr>
      </w:pPr>
    </w:p>
    <w:p w14:paraId="3AFF91AC" w14:textId="77777777" w:rsidR="00205788" w:rsidRDefault="00205788" w:rsidP="005B0A25">
      <w:pPr>
        <w:ind w:left="360" w:hanging="360"/>
        <w:jc w:val="both"/>
        <w:rPr>
          <w:rFonts w:ascii="Verdana" w:hAnsi="Verdana"/>
          <w:color w:val="757575"/>
          <w:sz w:val="18"/>
          <w:szCs w:val="18"/>
          <w:lang w:val="en-GB"/>
        </w:rPr>
      </w:pPr>
    </w:p>
    <w:p w14:paraId="65A7CB86" w14:textId="77777777" w:rsidR="008C438B" w:rsidRDefault="008C438B" w:rsidP="005B0A25">
      <w:pPr>
        <w:ind w:left="360" w:hanging="360"/>
        <w:jc w:val="both"/>
        <w:rPr>
          <w:rFonts w:ascii="Verdana" w:hAnsi="Verdana"/>
          <w:color w:val="757575"/>
          <w:sz w:val="18"/>
          <w:szCs w:val="18"/>
          <w:lang w:val="en-GB"/>
        </w:rPr>
      </w:pPr>
    </w:p>
    <w:p w14:paraId="2DC5ECF6" w14:textId="77777777" w:rsidR="00A4461C" w:rsidRPr="00A67CB1" w:rsidRDefault="00A4461C" w:rsidP="005B0A25">
      <w:pPr>
        <w:pStyle w:val="Heading3"/>
        <w:tabs>
          <w:tab w:val="center" w:pos="4877"/>
        </w:tabs>
        <w:jc w:val="both"/>
        <w:rPr>
          <w:sz w:val="25"/>
          <w:szCs w:val="25"/>
        </w:rPr>
      </w:pPr>
      <w:r w:rsidRPr="00A67CB1">
        <w:rPr>
          <w:sz w:val="25"/>
          <w:szCs w:val="25"/>
        </w:rPr>
        <w:t>Account Modification/Name change Requirements</w:t>
      </w:r>
    </w:p>
    <w:p w14:paraId="2DC5ECF7" w14:textId="77777777" w:rsidR="000370B8" w:rsidRPr="00092E45" w:rsidRDefault="000370B8" w:rsidP="000370B8">
      <w:pPr>
        <w:rPr>
          <w:rFonts w:ascii="Verdana" w:hAnsi="Verdana"/>
          <w:color w:val="757575"/>
          <w:sz w:val="18"/>
          <w:szCs w:val="18"/>
        </w:rPr>
      </w:pPr>
      <w:r w:rsidRPr="00092E45">
        <w:rPr>
          <w:rFonts w:ascii="Verdana" w:hAnsi="Verdana"/>
          <w:color w:val="757575"/>
          <w:sz w:val="18"/>
          <w:szCs w:val="18"/>
        </w:rPr>
        <w:t xml:space="preserve">Change of name process in </w:t>
      </w:r>
      <w:smartTag w:uri="urn:schemas-microsoft-com:office:smarttags" w:element="place">
        <w:smartTag w:uri="urn:schemas-microsoft-com:office:smarttags" w:element="country-region">
          <w:r w:rsidRPr="00092E45">
            <w:rPr>
              <w:rFonts w:ascii="Verdana" w:hAnsi="Verdana"/>
              <w:color w:val="757575"/>
              <w:sz w:val="18"/>
              <w:szCs w:val="18"/>
            </w:rPr>
            <w:t>Peru</w:t>
          </w:r>
        </w:smartTag>
      </w:smartTag>
      <w:r w:rsidRPr="00092E45">
        <w:rPr>
          <w:rFonts w:ascii="Verdana" w:hAnsi="Verdana"/>
          <w:color w:val="757575"/>
          <w:sz w:val="18"/>
          <w:szCs w:val="18"/>
        </w:rPr>
        <w:t xml:space="preserve"> is a little bit complicated and agent strongly suggests closing the account and opening a new one under the new name in case there is no holding. Otherwise, documentation need</w:t>
      </w:r>
      <w:r>
        <w:rPr>
          <w:rFonts w:ascii="Verdana" w:hAnsi="Verdana"/>
          <w:color w:val="757575"/>
          <w:sz w:val="18"/>
          <w:szCs w:val="18"/>
        </w:rPr>
        <w:t>s</w:t>
      </w:r>
      <w:r w:rsidRPr="00092E45">
        <w:rPr>
          <w:rFonts w:ascii="Verdana" w:hAnsi="Verdana"/>
          <w:color w:val="757575"/>
          <w:sz w:val="18"/>
          <w:szCs w:val="18"/>
        </w:rPr>
        <w:t xml:space="preserve"> to be submitted to agent prior change of name request</w:t>
      </w:r>
      <w:r>
        <w:rPr>
          <w:rFonts w:ascii="Verdana" w:hAnsi="Verdana"/>
          <w:color w:val="757575"/>
          <w:sz w:val="18"/>
          <w:szCs w:val="18"/>
        </w:rPr>
        <w:t>.</w:t>
      </w:r>
    </w:p>
    <w:p w14:paraId="2DC5ECF8" w14:textId="77777777" w:rsidR="000370B8" w:rsidRPr="00092E45" w:rsidRDefault="000370B8" w:rsidP="000370B8">
      <w:pPr>
        <w:rPr>
          <w:rFonts w:ascii="Verdana" w:hAnsi="Verdana"/>
          <w:color w:val="757575"/>
          <w:sz w:val="18"/>
          <w:szCs w:val="18"/>
        </w:rPr>
      </w:pPr>
      <w:r w:rsidRPr="00092E45">
        <w:rPr>
          <w:rFonts w:ascii="Verdana" w:hAnsi="Verdana"/>
          <w:color w:val="757575"/>
          <w:sz w:val="18"/>
          <w:szCs w:val="18"/>
        </w:rPr>
        <w:t xml:space="preserve">Market distinguishes 2 types of change of name: those related to a merger or an acquisition process and the others. </w:t>
      </w:r>
    </w:p>
    <w:p w14:paraId="2DC5ECF9" w14:textId="77777777" w:rsidR="000370B8" w:rsidRPr="00092E45" w:rsidRDefault="000370B8" w:rsidP="000370B8">
      <w:pPr>
        <w:rPr>
          <w:rFonts w:ascii="Verdana" w:hAnsi="Verdana"/>
          <w:color w:val="757575"/>
          <w:sz w:val="18"/>
          <w:szCs w:val="18"/>
        </w:rPr>
      </w:pPr>
      <w:r w:rsidRPr="00092E45">
        <w:rPr>
          <w:rFonts w:ascii="Verdana" w:hAnsi="Verdana"/>
          <w:color w:val="757575"/>
          <w:sz w:val="18"/>
          <w:szCs w:val="18"/>
        </w:rPr>
        <w:t>Please note the procedure to follow when there is a change of name:</w:t>
      </w:r>
    </w:p>
    <w:p w14:paraId="2DC5ECFA" w14:textId="77777777" w:rsidR="000370B8" w:rsidRPr="00092E45" w:rsidRDefault="000370B8" w:rsidP="000370B8">
      <w:pPr>
        <w:rPr>
          <w:rFonts w:ascii="Verdana" w:hAnsi="Verdana"/>
          <w:color w:val="757575"/>
          <w:sz w:val="18"/>
          <w:szCs w:val="18"/>
        </w:rPr>
      </w:pPr>
    </w:p>
    <w:p w14:paraId="2DC5ECFB" w14:textId="77777777" w:rsidR="000370B8" w:rsidRPr="00092E45" w:rsidRDefault="000370B8" w:rsidP="000370B8">
      <w:pPr>
        <w:numPr>
          <w:ilvl w:val="0"/>
          <w:numId w:val="34"/>
        </w:numPr>
        <w:adjustRightInd/>
        <w:spacing w:before="0" w:after="0" w:line="240" w:lineRule="auto"/>
        <w:rPr>
          <w:rFonts w:ascii="Verdana" w:hAnsi="Verdana"/>
          <w:color w:val="757575"/>
          <w:sz w:val="18"/>
          <w:szCs w:val="18"/>
        </w:rPr>
      </w:pPr>
      <w:r w:rsidRPr="00092E45">
        <w:rPr>
          <w:rFonts w:ascii="Verdana" w:hAnsi="Verdana"/>
          <w:color w:val="757575"/>
          <w:sz w:val="18"/>
          <w:szCs w:val="18"/>
        </w:rPr>
        <w:t>Check if there is position.</w:t>
      </w:r>
    </w:p>
    <w:p w14:paraId="2DC5ECFC" w14:textId="77777777" w:rsidR="000370B8" w:rsidRPr="00092E45" w:rsidRDefault="000370B8" w:rsidP="000370B8">
      <w:pPr>
        <w:numPr>
          <w:ilvl w:val="1"/>
          <w:numId w:val="34"/>
        </w:numPr>
        <w:adjustRightInd/>
        <w:spacing w:before="0" w:after="0" w:line="240" w:lineRule="auto"/>
        <w:rPr>
          <w:rFonts w:ascii="Verdana" w:hAnsi="Verdana"/>
          <w:color w:val="757575"/>
          <w:sz w:val="18"/>
          <w:szCs w:val="18"/>
        </w:rPr>
      </w:pPr>
      <w:r w:rsidRPr="00092E45">
        <w:rPr>
          <w:rFonts w:ascii="Verdana" w:hAnsi="Verdana"/>
          <w:color w:val="757575"/>
          <w:sz w:val="18"/>
          <w:szCs w:val="18"/>
        </w:rPr>
        <w:t>If not, check with client if they agree to close current account and open a new one in the correct name. It will take 24 hours to the agent to open the new account and close the old one.</w:t>
      </w:r>
    </w:p>
    <w:p w14:paraId="2DC5ECFD" w14:textId="77777777" w:rsidR="000370B8" w:rsidRDefault="000370B8" w:rsidP="000370B8">
      <w:pPr>
        <w:numPr>
          <w:ilvl w:val="1"/>
          <w:numId w:val="34"/>
        </w:numPr>
        <w:adjustRightInd/>
        <w:spacing w:before="0" w:after="0" w:line="240" w:lineRule="auto"/>
        <w:rPr>
          <w:rFonts w:ascii="Verdana" w:hAnsi="Verdana"/>
          <w:color w:val="757575"/>
          <w:sz w:val="18"/>
          <w:szCs w:val="18"/>
        </w:rPr>
      </w:pPr>
      <w:r w:rsidRPr="00092E45">
        <w:rPr>
          <w:rFonts w:ascii="Verdana" w:hAnsi="Verdana"/>
          <w:color w:val="757575"/>
          <w:sz w:val="18"/>
          <w:szCs w:val="18"/>
        </w:rPr>
        <w:t xml:space="preserve">If </w:t>
      </w:r>
      <w:r>
        <w:rPr>
          <w:rFonts w:ascii="Verdana" w:hAnsi="Verdana"/>
          <w:color w:val="757575"/>
          <w:sz w:val="18"/>
          <w:szCs w:val="18"/>
        </w:rPr>
        <w:t xml:space="preserve">client has holdings or </w:t>
      </w:r>
      <w:r w:rsidRPr="00092E45">
        <w:rPr>
          <w:rFonts w:ascii="Verdana" w:hAnsi="Verdana"/>
          <w:color w:val="757575"/>
          <w:sz w:val="18"/>
          <w:szCs w:val="18"/>
        </w:rPr>
        <w:t>wants to keep his account, documentation ha</w:t>
      </w:r>
      <w:r>
        <w:rPr>
          <w:rFonts w:ascii="Verdana" w:hAnsi="Verdana"/>
          <w:color w:val="757575"/>
          <w:sz w:val="18"/>
          <w:szCs w:val="18"/>
        </w:rPr>
        <w:t>s to be submitted to the agent who will review and provide their feedback on the acceptance of the document.</w:t>
      </w:r>
    </w:p>
    <w:p w14:paraId="2DC5ECFE" w14:textId="77777777" w:rsidR="000370B8" w:rsidRPr="00092E45" w:rsidRDefault="000370B8" w:rsidP="000370B8">
      <w:pPr>
        <w:adjustRightInd/>
        <w:spacing w:before="0" w:after="0" w:line="240" w:lineRule="auto"/>
        <w:ind w:left="1440"/>
        <w:rPr>
          <w:rFonts w:ascii="Verdana" w:hAnsi="Verdana"/>
          <w:color w:val="757575"/>
          <w:sz w:val="18"/>
          <w:szCs w:val="18"/>
        </w:rPr>
      </w:pPr>
    </w:p>
    <w:p w14:paraId="2DC5ECFF" w14:textId="77777777" w:rsidR="000370B8" w:rsidRDefault="000370B8" w:rsidP="000370B8">
      <w:pPr>
        <w:numPr>
          <w:ilvl w:val="0"/>
          <w:numId w:val="34"/>
        </w:numPr>
        <w:adjustRightInd/>
        <w:spacing w:before="0" w:after="0" w:line="240" w:lineRule="auto"/>
        <w:rPr>
          <w:rFonts w:ascii="Verdana" w:hAnsi="Verdana"/>
          <w:color w:val="757575"/>
          <w:sz w:val="18"/>
          <w:szCs w:val="18"/>
        </w:rPr>
      </w:pPr>
      <w:r>
        <w:rPr>
          <w:rFonts w:ascii="Verdana" w:hAnsi="Verdana"/>
          <w:color w:val="757575"/>
          <w:sz w:val="18"/>
          <w:szCs w:val="18"/>
        </w:rPr>
        <w:t xml:space="preserve">Further to 1b, </w:t>
      </w:r>
      <w:r w:rsidRPr="000370B8">
        <w:rPr>
          <w:rFonts w:ascii="Verdana" w:hAnsi="Verdana"/>
          <w:color w:val="757575"/>
          <w:sz w:val="18"/>
          <w:szCs w:val="18"/>
        </w:rPr>
        <w:t>Supporting documents</w:t>
      </w:r>
      <w:r w:rsidR="0007054D">
        <w:rPr>
          <w:rFonts w:ascii="Verdana" w:hAnsi="Verdana"/>
          <w:color w:val="757575"/>
          <w:sz w:val="18"/>
          <w:szCs w:val="18"/>
        </w:rPr>
        <w:t>***</w:t>
      </w:r>
      <w:r w:rsidRPr="000370B8">
        <w:rPr>
          <w:rFonts w:ascii="Verdana" w:hAnsi="Verdana"/>
          <w:color w:val="757575"/>
          <w:sz w:val="18"/>
          <w:szCs w:val="18"/>
        </w:rPr>
        <w:t xml:space="preserve"> – To be notarized and legalized – In case documentation is only notarized, agent will charge an Out of pocket expense of USD 30 for the signature verification </w:t>
      </w:r>
    </w:p>
    <w:p w14:paraId="2DC5ED00" w14:textId="77777777" w:rsidR="000370B8" w:rsidRDefault="000370B8" w:rsidP="000370B8">
      <w:pPr>
        <w:adjustRightInd/>
        <w:spacing w:before="0" w:after="0" w:line="240" w:lineRule="auto"/>
        <w:ind w:left="720"/>
        <w:rPr>
          <w:rFonts w:ascii="Verdana" w:hAnsi="Verdana"/>
          <w:color w:val="757575"/>
          <w:sz w:val="18"/>
          <w:szCs w:val="18"/>
        </w:rPr>
      </w:pPr>
    </w:p>
    <w:p w14:paraId="2DC5ED01" w14:textId="77777777" w:rsidR="0007054D" w:rsidRDefault="000370B8" w:rsidP="000370B8">
      <w:pPr>
        <w:numPr>
          <w:ilvl w:val="0"/>
          <w:numId w:val="34"/>
        </w:numPr>
        <w:adjustRightInd/>
        <w:spacing w:before="0" w:after="0" w:line="240" w:lineRule="auto"/>
        <w:rPr>
          <w:rFonts w:ascii="Verdana" w:hAnsi="Verdana"/>
          <w:color w:val="757575"/>
          <w:sz w:val="18"/>
          <w:szCs w:val="18"/>
        </w:rPr>
      </w:pPr>
      <w:r>
        <w:rPr>
          <w:rFonts w:ascii="Verdana" w:hAnsi="Verdana"/>
          <w:color w:val="757575"/>
          <w:sz w:val="18"/>
          <w:szCs w:val="18"/>
        </w:rPr>
        <w:t xml:space="preserve">Further to 1b, agent will only require </w:t>
      </w:r>
      <w:r w:rsidRPr="000370B8">
        <w:rPr>
          <w:rFonts w:ascii="Verdana" w:hAnsi="Verdana"/>
          <w:color w:val="757575"/>
          <w:sz w:val="18"/>
          <w:szCs w:val="18"/>
        </w:rPr>
        <w:t>soft copy</w:t>
      </w:r>
      <w:r>
        <w:rPr>
          <w:rFonts w:ascii="Verdana" w:hAnsi="Verdana"/>
          <w:color w:val="757575"/>
          <w:sz w:val="18"/>
          <w:szCs w:val="18"/>
        </w:rPr>
        <w:t xml:space="preserve"> of the legalized documentation. Agent will request for </w:t>
      </w:r>
      <w:r w:rsidRPr="000370B8">
        <w:rPr>
          <w:rFonts w:ascii="Verdana" w:hAnsi="Verdana"/>
          <w:color w:val="757575"/>
          <w:sz w:val="18"/>
          <w:szCs w:val="18"/>
        </w:rPr>
        <w:t>hard copy only if their regula</w:t>
      </w:r>
      <w:r>
        <w:rPr>
          <w:rFonts w:ascii="Verdana" w:hAnsi="Verdana"/>
          <w:color w:val="757575"/>
          <w:sz w:val="18"/>
          <w:szCs w:val="18"/>
        </w:rPr>
        <w:t>tors request it or if changes are</w:t>
      </w:r>
      <w:r w:rsidRPr="000370B8">
        <w:rPr>
          <w:rFonts w:ascii="Verdana" w:hAnsi="Verdana"/>
          <w:color w:val="757575"/>
          <w:sz w:val="18"/>
          <w:szCs w:val="18"/>
        </w:rPr>
        <w:t xml:space="preserve"> related to a merger or acquisition process for an account with holdings). </w:t>
      </w:r>
    </w:p>
    <w:p w14:paraId="2DC5ED02" w14:textId="77777777" w:rsidR="0007054D" w:rsidRDefault="0007054D" w:rsidP="0007054D">
      <w:pPr>
        <w:adjustRightInd/>
        <w:spacing w:before="0" w:after="0" w:line="240" w:lineRule="auto"/>
        <w:ind w:left="720"/>
        <w:rPr>
          <w:rFonts w:ascii="Verdana" w:hAnsi="Verdana"/>
          <w:color w:val="757575"/>
          <w:sz w:val="18"/>
          <w:szCs w:val="18"/>
        </w:rPr>
      </w:pPr>
    </w:p>
    <w:p w14:paraId="2DC5ED03" w14:textId="77777777" w:rsidR="000370B8" w:rsidRPr="0007054D" w:rsidRDefault="000370B8" w:rsidP="000370B8">
      <w:pPr>
        <w:numPr>
          <w:ilvl w:val="0"/>
          <w:numId w:val="34"/>
        </w:numPr>
        <w:adjustRightInd/>
        <w:spacing w:before="0" w:after="0" w:line="240" w:lineRule="auto"/>
        <w:rPr>
          <w:rFonts w:ascii="Verdana" w:hAnsi="Verdana"/>
          <w:color w:val="757575"/>
          <w:sz w:val="18"/>
          <w:szCs w:val="18"/>
        </w:rPr>
      </w:pPr>
      <w:r w:rsidRPr="0007054D">
        <w:rPr>
          <w:rFonts w:ascii="Verdana" w:hAnsi="Verdana"/>
          <w:color w:val="757575"/>
          <w:sz w:val="18"/>
          <w:szCs w:val="18"/>
          <w:u w:val="single"/>
        </w:rPr>
        <w:t>It will take 5 days to agent to get the name updated with the regulators. CAVAL will charged USD 15 + VAT for a change of name.</w:t>
      </w:r>
    </w:p>
    <w:p w14:paraId="2DC5ED04" w14:textId="77777777" w:rsidR="000370B8" w:rsidRPr="00092E45" w:rsidRDefault="000370B8" w:rsidP="000370B8">
      <w:pPr>
        <w:rPr>
          <w:rFonts w:ascii="Verdana" w:hAnsi="Verdana"/>
          <w:color w:val="757575"/>
          <w:sz w:val="18"/>
          <w:szCs w:val="18"/>
        </w:rPr>
      </w:pPr>
    </w:p>
    <w:p w14:paraId="2DC5ED05" w14:textId="77777777" w:rsidR="000370B8" w:rsidRPr="00092E45" w:rsidRDefault="0007054D" w:rsidP="000370B8">
      <w:pPr>
        <w:rPr>
          <w:rFonts w:ascii="Verdana" w:hAnsi="Verdana"/>
          <w:color w:val="757575"/>
          <w:sz w:val="18"/>
          <w:szCs w:val="18"/>
        </w:rPr>
      </w:pPr>
      <w:r>
        <w:rPr>
          <w:rFonts w:ascii="Verdana" w:hAnsi="Verdana"/>
          <w:color w:val="757575"/>
          <w:sz w:val="18"/>
          <w:szCs w:val="18"/>
        </w:rPr>
        <w:t>***</w:t>
      </w:r>
      <w:r w:rsidR="000370B8" w:rsidRPr="00092E45">
        <w:rPr>
          <w:rFonts w:ascii="Verdana" w:hAnsi="Verdana"/>
          <w:color w:val="757575"/>
          <w:sz w:val="18"/>
          <w:szCs w:val="18"/>
        </w:rPr>
        <w:t xml:space="preserve">Please find below </w:t>
      </w:r>
      <w:r>
        <w:rPr>
          <w:rFonts w:ascii="Verdana" w:hAnsi="Verdana"/>
          <w:color w:val="757575"/>
          <w:sz w:val="18"/>
          <w:szCs w:val="18"/>
        </w:rPr>
        <w:t xml:space="preserve">the list of required documents coded as </w:t>
      </w:r>
      <w:r w:rsidR="000370B8" w:rsidRPr="00092E45">
        <w:rPr>
          <w:rFonts w:ascii="Verdana" w:hAnsi="Verdana"/>
          <w:color w:val="757575"/>
          <w:sz w:val="18"/>
          <w:szCs w:val="18"/>
        </w:rPr>
        <w:t>below (NC01 to NC04):</w:t>
      </w:r>
    </w:p>
    <w:p w14:paraId="2DC5ED06" w14:textId="77777777" w:rsidR="000370B8" w:rsidRPr="00092E45" w:rsidRDefault="000370B8" w:rsidP="000370B8">
      <w:pPr>
        <w:rPr>
          <w:rFonts w:ascii="Verdana" w:hAnsi="Verdana"/>
          <w:color w:val="757575"/>
          <w:sz w:val="18"/>
          <w:szCs w:val="18"/>
        </w:rPr>
      </w:pPr>
    </w:p>
    <w:p w14:paraId="2DC5ED07" w14:textId="77777777" w:rsidR="000370B8" w:rsidRPr="00092E45" w:rsidRDefault="000370B8" w:rsidP="000370B8">
      <w:pPr>
        <w:rPr>
          <w:rFonts w:ascii="Verdana" w:hAnsi="Verdana"/>
          <w:color w:val="757575"/>
          <w:sz w:val="18"/>
          <w:szCs w:val="18"/>
        </w:rPr>
      </w:pPr>
      <w:r w:rsidRPr="00092E45">
        <w:rPr>
          <w:rFonts w:ascii="Verdana" w:hAnsi="Verdana"/>
          <w:color w:val="757575"/>
          <w:sz w:val="18"/>
          <w:szCs w:val="18"/>
        </w:rPr>
        <w:t>NC01</w:t>
      </w:r>
      <w:r w:rsidRPr="00092E45">
        <w:rPr>
          <w:rFonts w:ascii="Verdana" w:hAnsi="Verdana"/>
          <w:color w:val="757575"/>
          <w:sz w:val="18"/>
          <w:szCs w:val="18"/>
        </w:rPr>
        <w:tab/>
        <w:t xml:space="preserve">Certificate of Incorporation. </w:t>
      </w:r>
    </w:p>
    <w:p w14:paraId="2DC5ED08" w14:textId="77777777" w:rsidR="000370B8" w:rsidRPr="00092E45" w:rsidRDefault="0007054D" w:rsidP="000370B8">
      <w:pPr>
        <w:rPr>
          <w:rFonts w:ascii="Verdana" w:hAnsi="Verdana"/>
          <w:color w:val="757575"/>
          <w:sz w:val="18"/>
          <w:szCs w:val="18"/>
        </w:rPr>
      </w:pPr>
      <w:r>
        <w:rPr>
          <w:rFonts w:ascii="Verdana" w:hAnsi="Verdana"/>
          <w:color w:val="757575"/>
          <w:sz w:val="18"/>
          <w:szCs w:val="18"/>
        </w:rPr>
        <w:t>NC02</w:t>
      </w:r>
      <w:r>
        <w:rPr>
          <w:rFonts w:ascii="Verdana" w:hAnsi="Verdana"/>
          <w:color w:val="757575"/>
          <w:sz w:val="18"/>
          <w:szCs w:val="18"/>
        </w:rPr>
        <w:tab/>
        <w:t>D</w:t>
      </w:r>
      <w:r w:rsidR="000370B8" w:rsidRPr="00092E45">
        <w:rPr>
          <w:rFonts w:ascii="Verdana" w:hAnsi="Verdana"/>
          <w:color w:val="757575"/>
          <w:sz w:val="18"/>
          <w:szCs w:val="18"/>
        </w:rPr>
        <w:t xml:space="preserve">ocumentation resulted of shareholder’s agreement or board of </w:t>
      </w:r>
      <w:r w:rsidRPr="00092E45">
        <w:rPr>
          <w:rFonts w:ascii="Verdana" w:hAnsi="Verdana"/>
          <w:color w:val="757575"/>
          <w:sz w:val="18"/>
          <w:szCs w:val="18"/>
        </w:rPr>
        <w:t>director’s</w:t>
      </w:r>
      <w:r w:rsidR="000370B8" w:rsidRPr="00092E45">
        <w:rPr>
          <w:rFonts w:ascii="Verdana" w:hAnsi="Verdana"/>
          <w:color w:val="757575"/>
          <w:sz w:val="18"/>
          <w:szCs w:val="18"/>
        </w:rPr>
        <w:t xml:space="preserve"> agreement. </w:t>
      </w:r>
    </w:p>
    <w:p w14:paraId="2DC5ED09" w14:textId="77777777" w:rsidR="000370B8" w:rsidRPr="00092E45" w:rsidRDefault="0007054D" w:rsidP="000370B8">
      <w:pPr>
        <w:rPr>
          <w:rFonts w:ascii="Verdana" w:hAnsi="Verdana"/>
          <w:color w:val="757575"/>
          <w:sz w:val="18"/>
          <w:szCs w:val="18"/>
        </w:rPr>
      </w:pPr>
      <w:r>
        <w:rPr>
          <w:rFonts w:ascii="Verdana" w:hAnsi="Verdana"/>
          <w:color w:val="757575"/>
          <w:sz w:val="18"/>
          <w:szCs w:val="18"/>
        </w:rPr>
        <w:t>NC03</w:t>
      </w:r>
      <w:r>
        <w:rPr>
          <w:rFonts w:ascii="Verdana" w:hAnsi="Verdana"/>
          <w:color w:val="757575"/>
          <w:sz w:val="18"/>
          <w:szCs w:val="18"/>
        </w:rPr>
        <w:tab/>
        <w:t>D</w:t>
      </w:r>
      <w:r w:rsidR="000370B8" w:rsidRPr="00092E45">
        <w:rPr>
          <w:rFonts w:ascii="Verdana" w:hAnsi="Verdana"/>
          <w:color w:val="757575"/>
          <w:sz w:val="18"/>
          <w:szCs w:val="18"/>
        </w:rPr>
        <w:t>ocumentation from</w:t>
      </w:r>
      <w:r>
        <w:rPr>
          <w:rFonts w:ascii="Verdana" w:hAnsi="Verdana"/>
          <w:color w:val="757575"/>
          <w:sz w:val="18"/>
          <w:szCs w:val="18"/>
        </w:rPr>
        <w:t xml:space="preserve"> the</w:t>
      </w:r>
      <w:r w:rsidR="000370B8" w:rsidRPr="00092E45">
        <w:rPr>
          <w:rFonts w:ascii="Verdana" w:hAnsi="Verdana"/>
          <w:color w:val="757575"/>
          <w:sz w:val="18"/>
          <w:szCs w:val="18"/>
        </w:rPr>
        <w:t xml:space="preserve"> local register entity in which it certifies the name change.</w:t>
      </w:r>
    </w:p>
    <w:p w14:paraId="2DC5ED0A" w14:textId="77777777" w:rsidR="000370B8" w:rsidRPr="00092E45" w:rsidRDefault="0007054D" w:rsidP="000370B8">
      <w:pPr>
        <w:rPr>
          <w:rFonts w:ascii="Verdana" w:hAnsi="Verdana"/>
          <w:color w:val="757575"/>
          <w:sz w:val="18"/>
          <w:szCs w:val="18"/>
        </w:rPr>
      </w:pPr>
      <w:r>
        <w:rPr>
          <w:rFonts w:ascii="Verdana" w:hAnsi="Verdana"/>
          <w:color w:val="757575"/>
          <w:sz w:val="18"/>
          <w:szCs w:val="18"/>
        </w:rPr>
        <w:t>NC04</w:t>
      </w:r>
      <w:r>
        <w:rPr>
          <w:rFonts w:ascii="Verdana" w:hAnsi="Verdana"/>
          <w:color w:val="757575"/>
          <w:sz w:val="18"/>
          <w:szCs w:val="18"/>
        </w:rPr>
        <w:tab/>
        <w:t>D</w:t>
      </w:r>
      <w:r w:rsidR="000370B8" w:rsidRPr="00092E45">
        <w:rPr>
          <w:rFonts w:ascii="Verdana" w:hAnsi="Verdana"/>
          <w:color w:val="757575"/>
          <w:sz w:val="18"/>
          <w:szCs w:val="18"/>
        </w:rPr>
        <w:t>ocumentat</w:t>
      </w:r>
      <w:r>
        <w:rPr>
          <w:rFonts w:ascii="Verdana" w:hAnsi="Verdana"/>
          <w:color w:val="757575"/>
          <w:sz w:val="18"/>
          <w:szCs w:val="18"/>
        </w:rPr>
        <w:t xml:space="preserve">ion from </w:t>
      </w:r>
      <w:r w:rsidR="006E78E2">
        <w:rPr>
          <w:rFonts w:ascii="Verdana" w:hAnsi="Verdana"/>
          <w:color w:val="757575"/>
          <w:sz w:val="18"/>
          <w:szCs w:val="18"/>
        </w:rPr>
        <w:t xml:space="preserve">the </w:t>
      </w:r>
      <w:r w:rsidR="006E78E2" w:rsidRPr="00092E45">
        <w:rPr>
          <w:rFonts w:ascii="Verdana" w:hAnsi="Verdana"/>
          <w:color w:val="757575"/>
          <w:sz w:val="18"/>
          <w:szCs w:val="18"/>
        </w:rPr>
        <w:t>financial</w:t>
      </w:r>
      <w:r>
        <w:rPr>
          <w:rFonts w:ascii="Verdana" w:hAnsi="Verdana"/>
          <w:color w:val="757575"/>
          <w:sz w:val="18"/>
          <w:szCs w:val="18"/>
        </w:rPr>
        <w:t xml:space="preserve"> controlling authority entity</w:t>
      </w:r>
      <w:r w:rsidR="000370B8" w:rsidRPr="00092E45">
        <w:rPr>
          <w:rFonts w:ascii="Verdana" w:hAnsi="Verdana"/>
          <w:color w:val="757575"/>
          <w:sz w:val="18"/>
          <w:szCs w:val="18"/>
        </w:rPr>
        <w:t xml:space="preserve"> which it certifies the register of name change.</w:t>
      </w:r>
    </w:p>
    <w:p w14:paraId="2DC5ED0B" w14:textId="77777777" w:rsidR="000370B8" w:rsidRDefault="000370B8" w:rsidP="000370B8">
      <w:pPr>
        <w:rPr>
          <w:rFonts w:ascii="Verdana" w:hAnsi="Verdana"/>
          <w:color w:val="757575"/>
          <w:sz w:val="18"/>
          <w:szCs w:val="18"/>
        </w:rPr>
      </w:pPr>
    </w:p>
    <w:p w14:paraId="504E78F6" w14:textId="0A53A2B3" w:rsidR="008C438B" w:rsidRDefault="008C438B" w:rsidP="000370B8">
      <w:pPr>
        <w:rPr>
          <w:rFonts w:ascii="Verdana" w:hAnsi="Verdana"/>
          <w:color w:val="757575"/>
          <w:sz w:val="18"/>
          <w:szCs w:val="18"/>
        </w:rPr>
      </w:pPr>
    </w:p>
    <w:p w14:paraId="62CDC035" w14:textId="77777777" w:rsidR="008C438B" w:rsidRDefault="008C438B" w:rsidP="000370B8">
      <w:pPr>
        <w:rPr>
          <w:rFonts w:ascii="Verdana" w:hAnsi="Verdana"/>
          <w:color w:val="757575"/>
          <w:sz w:val="18"/>
          <w:szCs w:val="18"/>
        </w:rPr>
      </w:pPr>
    </w:p>
    <w:p w14:paraId="02688687" w14:textId="77777777" w:rsidR="008C438B" w:rsidRDefault="008C438B" w:rsidP="000370B8">
      <w:pPr>
        <w:rPr>
          <w:rFonts w:ascii="Verdana" w:hAnsi="Verdana"/>
          <w:color w:val="757575"/>
          <w:sz w:val="18"/>
          <w:szCs w:val="18"/>
        </w:rPr>
      </w:pPr>
    </w:p>
    <w:p w14:paraId="43B37F79" w14:textId="77777777" w:rsidR="008C438B" w:rsidRDefault="008C438B" w:rsidP="000370B8">
      <w:pPr>
        <w:rPr>
          <w:rFonts w:ascii="Verdana" w:hAnsi="Verdana"/>
          <w:color w:val="757575"/>
          <w:sz w:val="18"/>
          <w:szCs w:val="18"/>
        </w:rPr>
      </w:pPr>
    </w:p>
    <w:p w14:paraId="05B53B06" w14:textId="77777777" w:rsidR="008C438B" w:rsidRDefault="008C438B" w:rsidP="000370B8">
      <w:pPr>
        <w:rPr>
          <w:rFonts w:ascii="Verdana" w:hAnsi="Verdana"/>
          <w:color w:val="757575"/>
          <w:sz w:val="18"/>
          <w:szCs w:val="18"/>
        </w:rPr>
      </w:pPr>
    </w:p>
    <w:p w14:paraId="68CA85B1" w14:textId="77777777" w:rsidR="008C438B" w:rsidRDefault="008C438B" w:rsidP="000370B8">
      <w:pPr>
        <w:rPr>
          <w:rFonts w:ascii="Verdana" w:hAnsi="Verdana"/>
          <w:color w:val="757575"/>
          <w:sz w:val="18"/>
          <w:szCs w:val="18"/>
        </w:rPr>
      </w:pPr>
    </w:p>
    <w:p w14:paraId="6368081D" w14:textId="77777777" w:rsidR="008C438B" w:rsidRDefault="008C438B" w:rsidP="000370B8">
      <w:pPr>
        <w:rPr>
          <w:rFonts w:ascii="Verdana" w:hAnsi="Verdana"/>
          <w:color w:val="757575"/>
          <w:sz w:val="18"/>
          <w:szCs w:val="18"/>
        </w:rPr>
      </w:pPr>
    </w:p>
    <w:p w14:paraId="0158D24A" w14:textId="77777777" w:rsidR="008C438B" w:rsidRDefault="008C438B" w:rsidP="000370B8">
      <w:pPr>
        <w:rPr>
          <w:rFonts w:ascii="Verdana" w:hAnsi="Verdana"/>
          <w:color w:val="757575"/>
          <w:sz w:val="18"/>
          <w:szCs w:val="18"/>
        </w:rPr>
      </w:pPr>
    </w:p>
    <w:p w14:paraId="19481B6A" w14:textId="77777777" w:rsidR="008C438B" w:rsidRDefault="008C438B" w:rsidP="000370B8">
      <w:pPr>
        <w:rPr>
          <w:rFonts w:ascii="Verdana" w:hAnsi="Verdana"/>
          <w:color w:val="757575"/>
          <w:sz w:val="18"/>
          <w:szCs w:val="18"/>
        </w:rPr>
      </w:pPr>
    </w:p>
    <w:p w14:paraId="70DB42E1" w14:textId="77777777" w:rsidR="008C438B" w:rsidRPr="00092E45" w:rsidRDefault="008C438B" w:rsidP="000370B8">
      <w:pPr>
        <w:rPr>
          <w:rFonts w:ascii="Verdana" w:hAnsi="Verdana"/>
          <w:color w:val="757575"/>
          <w:sz w:val="18"/>
          <w:szCs w:val="18"/>
        </w:rPr>
      </w:pPr>
    </w:p>
    <w:p w14:paraId="2DC5ED0C" w14:textId="77777777" w:rsidR="00A4461C" w:rsidRPr="00A67CB1" w:rsidRDefault="00A4461C" w:rsidP="005B0A25">
      <w:pPr>
        <w:pStyle w:val="Heading3"/>
        <w:tabs>
          <w:tab w:val="center" w:pos="4877"/>
        </w:tabs>
        <w:jc w:val="both"/>
        <w:rPr>
          <w:sz w:val="25"/>
          <w:szCs w:val="25"/>
        </w:rPr>
      </w:pPr>
      <w:r w:rsidRPr="00A67CB1">
        <w:rPr>
          <w:sz w:val="25"/>
          <w:szCs w:val="25"/>
        </w:rPr>
        <w:t>Account Closure</w:t>
      </w:r>
    </w:p>
    <w:p w14:paraId="2DC5ED0D" w14:textId="77777777" w:rsidR="00A4461C" w:rsidRDefault="00A4461C" w:rsidP="005B0A25">
      <w:pPr>
        <w:jc w:val="both"/>
        <w:rPr>
          <w:rFonts w:ascii="Verdana" w:hAnsi="Verdana"/>
          <w:color w:val="757575"/>
          <w:sz w:val="18"/>
          <w:szCs w:val="18"/>
          <w:lang w:eastAsia="en-GB"/>
        </w:rPr>
      </w:pPr>
      <w:r>
        <w:rPr>
          <w:rFonts w:ascii="Verdana" w:hAnsi="Verdana"/>
          <w:color w:val="757575"/>
          <w:sz w:val="18"/>
          <w:szCs w:val="18"/>
          <w:lang w:eastAsia="en-GB"/>
        </w:rPr>
        <w:t>No Documentation required however client should always ensure t</w:t>
      </w:r>
      <w:r w:rsidRPr="00042F42">
        <w:rPr>
          <w:rFonts w:ascii="Verdana" w:hAnsi="Verdana"/>
          <w:color w:val="757575"/>
          <w:sz w:val="18"/>
          <w:szCs w:val="18"/>
          <w:lang w:eastAsia="en-GB"/>
        </w:rPr>
        <w:t xml:space="preserve">here </w:t>
      </w:r>
      <w:r>
        <w:rPr>
          <w:rFonts w:ascii="Verdana" w:hAnsi="Verdana"/>
          <w:color w:val="757575"/>
          <w:sz w:val="18"/>
          <w:szCs w:val="18"/>
          <w:lang w:eastAsia="en-GB"/>
        </w:rPr>
        <w:t xml:space="preserve">are </w:t>
      </w:r>
      <w:r w:rsidRPr="00042F42">
        <w:rPr>
          <w:rFonts w:ascii="Verdana" w:hAnsi="Verdana"/>
          <w:color w:val="757575"/>
          <w:sz w:val="18"/>
          <w:szCs w:val="18"/>
          <w:lang w:eastAsia="en-GB"/>
        </w:rPr>
        <w:t>no outstanding trades, corporate actions, fees and holdings</w:t>
      </w:r>
      <w:r>
        <w:rPr>
          <w:rFonts w:ascii="Verdana" w:hAnsi="Verdana"/>
          <w:color w:val="757575"/>
          <w:sz w:val="18"/>
          <w:szCs w:val="18"/>
          <w:lang w:eastAsia="en-GB"/>
        </w:rPr>
        <w:t xml:space="preserve"> prior to sending the closure instruction.</w:t>
      </w:r>
    </w:p>
    <w:p w14:paraId="2DC5ED0E" w14:textId="77777777" w:rsidR="00673B4C" w:rsidRDefault="00673B4C" w:rsidP="005B0A25">
      <w:pPr>
        <w:jc w:val="both"/>
        <w:rPr>
          <w:rFonts w:ascii="Verdana" w:hAnsi="Verdana"/>
          <w:color w:val="757575"/>
          <w:sz w:val="18"/>
          <w:szCs w:val="18"/>
          <w:lang w:eastAsia="en-GB"/>
        </w:rPr>
      </w:pPr>
    </w:p>
    <w:p w14:paraId="2DC5ED0F" w14:textId="77777777" w:rsidR="00A4461C" w:rsidRDefault="00A4461C" w:rsidP="005B0A25">
      <w:pPr>
        <w:jc w:val="both"/>
        <w:rPr>
          <w:rFonts w:ascii="Verdana" w:hAnsi="Verdana"/>
          <w:color w:val="757575"/>
          <w:sz w:val="18"/>
          <w:szCs w:val="18"/>
          <w:lang w:eastAsia="en-GB"/>
        </w:rPr>
      </w:pPr>
    </w:p>
    <w:bookmarkEnd w:id="5"/>
    <w:bookmarkEnd w:id="6"/>
    <w:p w14:paraId="2DC5ED10" w14:textId="77777777" w:rsidR="00B924A2" w:rsidRDefault="00B924A2" w:rsidP="005B0A25">
      <w:pPr>
        <w:pStyle w:val="BodyText"/>
        <w:jc w:val="both"/>
        <w:rPr>
          <w:lang w:eastAsia="en-US"/>
        </w:rPr>
      </w:pPr>
    </w:p>
    <w:p w14:paraId="2DC5ED11" w14:textId="77777777" w:rsidR="00B924A2" w:rsidRPr="00B924A2" w:rsidRDefault="00B924A2" w:rsidP="005B0A25">
      <w:pPr>
        <w:pStyle w:val="BodyText"/>
        <w:jc w:val="both"/>
        <w:rPr>
          <w:lang w:eastAsia="en-US"/>
        </w:rPr>
      </w:pPr>
    </w:p>
    <w:p w14:paraId="2DC5ED12" w14:textId="77777777" w:rsidR="00B924A2" w:rsidRPr="00B924A2" w:rsidRDefault="00B924A2" w:rsidP="005B0A25">
      <w:pPr>
        <w:pStyle w:val="BodyText"/>
        <w:jc w:val="both"/>
        <w:rPr>
          <w:lang w:eastAsia="en-US"/>
        </w:rPr>
      </w:pPr>
    </w:p>
    <w:bookmarkEnd w:id="2"/>
    <w:bookmarkEnd w:id="3"/>
    <w:p w14:paraId="2DC5ED13" w14:textId="77777777" w:rsidR="00432B3C" w:rsidRPr="003C744E" w:rsidRDefault="00432B3C" w:rsidP="005B0A25">
      <w:pPr>
        <w:pStyle w:val="ListNumber"/>
        <w:jc w:val="both"/>
        <w:sectPr w:rsidR="00432B3C" w:rsidRPr="003C744E" w:rsidSect="00DD570C">
          <w:footerReference w:type="default" r:id="rId10"/>
          <w:headerReference w:type="first" r:id="rId11"/>
          <w:footerReference w:type="first" r:id="rId12"/>
          <w:pgSz w:w="11909" w:h="16834" w:code="9"/>
          <w:pgMar w:top="1077" w:right="1077" w:bottom="1077" w:left="1077" w:header="1080" w:footer="432" w:gutter="0"/>
          <w:pgNumType w:start="1"/>
          <w:cols w:space="720"/>
          <w:titlePg/>
          <w:docGrid w:linePitch="360"/>
        </w:sectPr>
      </w:pPr>
    </w:p>
    <w:p w14:paraId="2DC5ED14" w14:textId="77777777" w:rsidR="00432B3C" w:rsidRPr="00DD570C" w:rsidRDefault="00432B3C" w:rsidP="005B0A25">
      <w:pPr>
        <w:pStyle w:val="TitleDisclaimer"/>
        <w:jc w:val="both"/>
      </w:pPr>
      <w:r w:rsidRPr="00DD570C">
        <w:lastRenderedPageBreak/>
        <w:t>Disclaimer</w:t>
      </w:r>
    </w:p>
    <w:p w14:paraId="2DC5ED16" w14:textId="0D8CD9C3" w:rsidR="00A67A57" w:rsidRDefault="00205788" w:rsidP="005B0A25">
      <w:pPr>
        <w:jc w:val="both"/>
      </w:pPr>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licence.</w:t>
      </w:r>
    </w:p>
    <w:sectPr w:rsidR="00A67A57" w:rsidSect="00DD570C">
      <w:headerReference w:type="even" r:id="rId13"/>
      <w:headerReference w:type="first" r:id="rId14"/>
      <w:footerReference w:type="first" r:id="rId15"/>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5ED19" w14:textId="77777777" w:rsidR="005B0A25" w:rsidRDefault="005B0A25" w:rsidP="00432B3C">
      <w:pPr>
        <w:spacing w:before="0" w:after="0" w:line="240" w:lineRule="auto"/>
      </w:pPr>
      <w:r>
        <w:separator/>
      </w:r>
    </w:p>
  </w:endnote>
  <w:endnote w:type="continuationSeparator" w:id="0">
    <w:p w14:paraId="2DC5ED1A" w14:textId="77777777" w:rsidR="005B0A25" w:rsidRDefault="005B0A25"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swiss"/>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5ED1B" w14:textId="77777777" w:rsidR="005F0563"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9C6753">
      <w:rPr>
        <w:rStyle w:val="PageNumber"/>
        <w:b/>
        <w:caps w:val="0"/>
      </w:rPr>
      <w:t>3</w:t>
    </w:r>
    <w:r w:rsidRPr="009B18F0">
      <w:rPr>
        <w:rStyle w:val="PageNumber"/>
        <w:b/>
        <w:caps w:val="0"/>
      </w:rPr>
      <w:fldChar w:fldCharType="end"/>
    </w:r>
    <w:r>
      <w:t xml:space="preserve">  |  </w:t>
    </w:r>
    <w:fldSimple w:instr=" STYLEREF  &quot;Heading 1 + Sub-Heading&quot;  \* MERGEFORMAT ">
      <w:r w:rsidR="009C6753">
        <w:t>FII Market Entry Requirements for Peru</w:t>
      </w:r>
    </w:fldSimple>
    <w:r>
      <w:rPr>
        <w:snapToGrid/>
        <w:lang w:eastAsia="en-US"/>
      </w:rPr>
      <mc:AlternateContent>
        <mc:Choice Requires="wps">
          <w:drawing>
            <wp:anchor distT="0" distB="0" distL="114300" distR="114300" simplePos="0" relativeHeight="251660288" behindDoc="0" locked="0" layoutInCell="1" allowOverlap="1" wp14:anchorId="2DC5ED21" wp14:editId="2DC5ED22">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2DC5ED28" w14:textId="77777777">
                            <w:trPr>
                              <w:trHeight w:hRule="exact" w:val="547"/>
                            </w:trPr>
                            <w:tc>
                              <w:tcPr>
                                <w:tcW w:w="3096" w:type="dxa"/>
                              </w:tcPr>
                              <w:p w14:paraId="2DC5ED27" w14:textId="77777777" w:rsidR="000720EB" w:rsidRDefault="00EA4A1F" w:rsidP="00F25609">
                                <w:pPr>
                                  <w:pStyle w:val="Draft"/>
                                </w:pPr>
                                <w:r>
                                  <w:t>Draft</w:t>
                                </w:r>
                              </w:p>
                            </w:tc>
                          </w:tr>
                        </w:tbl>
                        <w:p w14:paraId="2DC5ED29" w14:textId="77777777" w:rsidR="000720EB" w:rsidRDefault="009C6753"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5ED21"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" filled="f" stroked="f">
              <v:textbox inset="0,0,0,0">
                <w:txbxContent>
                  <w:tbl>
                    <w:tblPr>
                      <w:tblW w:w="0" w:type="auto"/>
                      <w:tblLayout w:type="fixed"/>
                      <w:tblLook w:val="01E0" w:firstRow="1" w:lastRow="1" w:firstColumn="1" w:lastColumn="1" w:noHBand="0" w:noVBand="0"/>
                    </w:tblPr>
                    <w:tblGrid>
                      <w:gridCol w:w="3096"/>
                    </w:tblGrid>
                    <w:tr w:rsidR="000720EB" w14:paraId="2DC5ED28" w14:textId="77777777">
                      <w:trPr>
                        <w:trHeight w:hRule="exact" w:val="547"/>
                      </w:trPr>
                      <w:tc>
                        <w:tcPr>
                          <w:tcW w:w="3096" w:type="dxa"/>
                        </w:tcPr>
                        <w:p w14:paraId="2DC5ED27" w14:textId="77777777" w:rsidR="000720EB" w:rsidRDefault="00EA4A1F" w:rsidP="00F25609">
                          <w:pPr>
                            <w:pStyle w:val="Draft"/>
                          </w:pPr>
                          <w:r>
                            <w:t>Draft</w:t>
                          </w:r>
                        </w:p>
                      </w:tc>
                    </w:tr>
                  </w:tbl>
                  <w:p w14:paraId="2DC5ED29" w14:textId="77777777" w:rsidR="000720EB" w:rsidRDefault="009C6753" w:rsidP="000720E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5ED1D" w14:textId="77777777" w:rsidR="000839ED"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9C6753">
      <w:rPr>
        <w:rStyle w:val="PageNumber"/>
        <w:b/>
      </w:rPr>
      <w:t>1</w:t>
    </w:r>
    <w:r w:rsidRPr="00DD570C">
      <w:rPr>
        <w:rStyle w:val="PageNumber"/>
        <w:b/>
      </w:rPr>
      <w:fldChar w:fldCharType="end"/>
    </w:r>
    <w:r w:rsidRPr="00B0308B">
      <w:t xml:space="preserve">  |  </w:t>
    </w:r>
    <w:r w:rsidR="009C6753">
      <w:fldChar w:fldCharType="begin"/>
    </w:r>
    <w:r w:rsidR="009C6753">
      <w:instrText xml:space="preserve"> STYLEREF  "Heading 1 + Sub-Heading"  \* MERGEFORMAT </w:instrText>
    </w:r>
    <w:r w:rsidR="009C6753">
      <w:fldChar w:fldCharType="separate"/>
    </w:r>
    <w:r w:rsidR="009C6753">
      <w:t>FII Market Entry Requirements for Peru</w:t>
    </w:r>
    <w:r w:rsidR="009C6753">
      <w:fldChar w:fldCharType="end"/>
    </w:r>
    <w:r>
      <w:rPr>
        <w:snapToGrid/>
        <w:lang w:eastAsia="en-US"/>
      </w:rPr>
      <mc:AlternateContent>
        <mc:Choice Requires="wps">
          <w:drawing>
            <wp:anchor distT="0" distB="0" distL="114300" distR="114300" simplePos="0" relativeHeight="251659264" behindDoc="0" locked="0" layoutInCell="1" allowOverlap="1" wp14:anchorId="2DC5ED25" wp14:editId="2DC5ED26">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2DC5ED2B" w14:textId="77777777">
                            <w:trPr>
                              <w:trHeight w:hRule="exact" w:val="547"/>
                            </w:trPr>
                            <w:tc>
                              <w:tcPr>
                                <w:tcW w:w="3096" w:type="dxa"/>
                              </w:tcPr>
                              <w:p w14:paraId="2DC5ED2A" w14:textId="77777777" w:rsidR="009C5B88" w:rsidRDefault="00EA4A1F" w:rsidP="00F25609">
                                <w:pPr>
                                  <w:pStyle w:val="Draft"/>
                                </w:pPr>
                                <w:r>
                                  <w:t>Draft</w:t>
                                </w:r>
                              </w:p>
                            </w:tc>
                          </w:tr>
                        </w:tbl>
                        <w:p w14:paraId="2DC5ED2C" w14:textId="77777777" w:rsidR="009C5B88" w:rsidRDefault="009C6753"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5ED25"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" filled="f" stroked="f">
              <v:textbox inset="0,0,0,0">
                <w:txbxContent>
                  <w:tbl>
                    <w:tblPr>
                      <w:tblW w:w="0" w:type="auto"/>
                      <w:tblLayout w:type="fixed"/>
                      <w:tblLook w:val="01E0" w:firstRow="1" w:lastRow="1" w:firstColumn="1" w:lastColumn="1" w:noHBand="0" w:noVBand="0"/>
                    </w:tblPr>
                    <w:tblGrid>
                      <w:gridCol w:w="3096"/>
                    </w:tblGrid>
                    <w:tr w:rsidR="009C5B88" w14:paraId="2DC5ED2B" w14:textId="77777777">
                      <w:trPr>
                        <w:trHeight w:hRule="exact" w:val="547"/>
                      </w:trPr>
                      <w:tc>
                        <w:tcPr>
                          <w:tcW w:w="3096" w:type="dxa"/>
                        </w:tcPr>
                        <w:p w14:paraId="2DC5ED2A" w14:textId="77777777" w:rsidR="009C5B88" w:rsidRDefault="00EA4A1F" w:rsidP="00F25609">
                          <w:pPr>
                            <w:pStyle w:val="Draft"/>
                          </w:pPr>
                          <w:r>
                            <w:t>Draft</w:t>
                          </w:r>
                        </w:p>
                      </w:tc>
                    </w:tr>
                  </w:tbl>
                  <w:p w14:paraId="2DC5ED2C" w14:textId="77777777" w:rsidR="009C5B88" w:rsidRDefault="009C6753" w:rsidP="009C5B88"/>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5ED20" w14:textId="2899F5C7" w:rsidR="00745241" w:rsidRPr="00B0308B" w:rsidRDefault="00205788" w:rsidP="00B0308B">
    <w:pPr>
      <w:pStyle w:val="FooterBackcover"/>
    </w:pPr>
    <w:r>
      <w:t>rbci</w:t>
    </w:r>
    <w:r w:rsidR="00EA4A1F">
      <w: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5ED17" w14:textId="77777777" w:rsidR="005B0A25" w:rsidRDefault="005B0A25" w:rsidP="00432B3C">
      <w:pPr>
        <w:spacing w:before="0" w:after="0" w:line="240" w:lineRule="auto"/>
      </w:pPr>
      <w:r>
        <w:separator/>
      </w:r>
    </w:p>
  </w:footnote>
  <w:footnote w:type="continuationSeparator" w:id="0">
    <w:p w14:paraId="2DC5ED18" w14:textId="77777777" w:rsidR="005B0A25" w:rsidRDefault="005B0A25" w:rsidP="00432B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5ED1C" w14:textId="2DBE05AA" w:rsidR="007D7938" w:rsidRPr="00D24DF2" w:rsidRDefault="00205788" w:rsidP="00AE6A20">
    <w:pPr>
      <w:spacing w:before="0" w:after="1080"/>
    </w:pPr>
    <w:r>
      <w:rPr>
        <w:noProof/>
        <w:lang w:eastAsia="en-US"/>
      </w:rPr>
      <w:drawing>
        <wp:inline distT="0" distB="0" distL="0" distR="0" wp14:anchorId="6DEC275E" wp14:editId="17AF2E79">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5ED1E" w14:textId="77777777" w:rsidR="00745241" w:rsidRDefault="009C675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5ED1F" w14:textId="77777777" w:rsidR="00745241" w:rsidRPr="00D24DF2" w:rsidRDefault="009C6753" w:rsidP="004949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2E705BD"/>
    <w:multiLevelType w:val="multilevel"/>
    <w:tmpl w:val="912C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8"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BD1D59"/>
    <w:multiLevelType w:val="hybridMultilevel"/>
    <w:tmpl w:val="6CF46B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7C4698"/>
    <w:multiLevelType w:val="hybridMultilevel"/>
    <w:tmpl w:val="1192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0D05516"/>
    <w:multiLevelType w:val="multilevel"/>
    <w:tmpl w:val="C8CA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5"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1C29C0"/>
    <w:multiLevelType w:val="hybridMultilevel"/>
    <w:tmpl w:val="416AD596"/>
    <w:lvl w:ilvl="0" w:tplc="894807EC">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787FCA"/>
    <w:multiLevelType w:val="hybridMultilevel"/>
    <w:tmpl w:val="F326C09C"/>
    <w:lvl w:ilvl="0" w:tplc="3A6A735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F270D"/>
    <w:multiLevelType w:val="hybridMultilevel"/>
    <w:tmpl w:val="0DC0052C"/>
    <w:lvl w:ilvl="0" w:tplc="A12ED008">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6"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9"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30"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1"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4"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2"/>
  </w:num>
  <w:num w:numId="3">
    <w:abstractNumId w:val="31"/>
  </w:num>
  <w:num w:numId="4">
    <w:abstractNumId w:val="15"/>
  </w:num>
  <w:num w:numId="5">
    <w:abstractNumId w:val="6"/>
  </w:num>
  <w:num w:numId="6">
    <w:abstractNumId w:val="29"/>
  </w:num>
  <w:num w:numId="7">
    <w:abstractNumId w:val="23"/>
  </w:num>
  <w:num w:numId="8">
    <w:abstractNumId w:val="18"/>
  </w:num>
  <w:num w:numId="9">
    <w:abstractNumId w:val="30"/>
  </w:num>
  <w:num w:numId="10">
    <w:abstractNumId w:val="7"/>
  </w:num>
  <w:num w:numId="11">
    <w:abstractNumId w:val="14"/>
  </w:num>
  <w:num w:numId="12">
    <w:abstractNumId w:val="4"/>
  </w:num>
  <w:num w:numId="13">
    <w:abstractNumId w:val="3"/>
  </w:num>
  <w:num w:numId="14">
    <w:abstractNumId w:val="8"/>
  </w:num>
  <w:num w:numId="15">
    <w:abstractNumId w:val="2"/>
  </w:num>
  <w:num w:numId="16">
    <w:abstractNumId w:val="1"/>
  </w:num>
  <w:num w:numId="17">
    <w:abstractNumId w:val="0"/>
  </w:num>
  <w:num w:numId="18">
    <w:abstractNumId w:val="26"/>
  </w:num>
  <w:num w:numId="19">
    <w:abstractNumId w:val="27"/>
  </w:num>
  <w:num w:numId="20">
    <w:abstractNumId w:val="12"/>
  </w:num>
  <w:num w:numId="21">
    <w:abstractNumId w:val="20"/>
    <w:lvlOverride w:ilvl="0">
      <w:startOverride w:val="1"/>
    </w:lvlOverride>
  </w:num>
  <w:num w:numId="22">
    <w:abstractNumId w:val="28"/>
    <w:lvlOverride w:ilvl="0">
      <w:startOverride w:val="1"/>
    </w:lvlOverride>
  </w:num>
  <w:num w:numId="23">
    <w:abstractNumId w:val="33"/>
  </w:num>
  <w:num w:numId="24">
    <w:abstractNumId w:val="11"/>
  </w:num>
  <w:num w:numId="25">
    <w:abstractNumId w:val="34"/>
  </w:num>
  <w:num w:numId="26">
    <w:abstractNumId w:val="25"/>
  </w:num>
  <w:num w:numId="27">
    <w:abstractNumId w:val="19"/>
  </w:num>
  <w:num w:numId="28">
    <w:abstractNumId w:val="24"/>
  </w:num>
  <w:num w:numId="29">
    <w:abstractNumId w:val="21"/>
  </w:num>
  <w:num w:numId="30">
    <w:abstractNumId w:val="9"/>
  </w:num>
  <w:num w:numId="31">
    <w:abstractNumId w:val="22"/>
  </w:num>
  <w:num w:numId="32">
    <w:abstractNumId w:val="5"/>
  </w:num>
  <w:num w:numId="33">
    <w:abstractNumId w:val="13"/>
  </w:num>
  <w:num w:numId="34">
    <w:abstractNumId w:val="17"/>
  </w:num>
  <w:num w:numId="35">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25"/>
    <w:rsid w:val="00033D4F"/>
    <w:rsid w:val="000370B8"/>
    <w:rsid w:val="00042BCB"/>
    <w:rsid w:val="000519C5"/>
    <w:rsid w:val="0007054D"/>
    <w:rsid w:val="000708CB"/>
    <w:rsid w:val="0009645C"/>
    <w:rsid w:val="00096EC7"/>
    <w:rsid w:val="000D3EDC"/>
    <w:rsid w:val="000D4C29"/>
    <w:rsid w:val="000E60F6"/>
    <w:rsid w:val="00113A07"/>
    <w:rsid w:val="0011714C"/>
    <w:rsid w:val="00121264"/>
    <w:rsid w:val="00167968"/>
    <w:rsid w:val="001B06F9"/>
    <w:rsid w:val="00205788"/>
    <w:rsid w:val="00224D6A"/>
    <w:rsid w:val="00286A84"/>
    <w:rsid w:val="002B7E7F"/>
    <w:rsid w:val="002D4E31"/>
    <w:rsid w:val="00303137"/>
    <w:rsid w:val="00355B30"/>
    <w:rsid w:val="003F7EB6"/>
    <w:rsid w:val="00432B3C"/>
    <w:rsid w:val="004555C7"/>
    <w:rsid w:val="0048122A"/>
    <w:rsid w:val="004D7543"/>
    <w:rsid w:val="0053334D"/>
    <w:rsid w:val="00556460"/>
    <w:rsid w:val="00581299"/>
    <w:rsid w:val="005B0A25"/>
    <w:rsid w:val="005C490A"/>
    <w:rsid w:val="00617A84"/>
    <w:rsid w:val="00662ECA"/>
    <w:rsid w:val="00673B4C"/>
    <w:rsid w:val="006E78E2"/>
    <w:rsid w:val="00784EAC"/>
    <w:rsid w:val="00792A41"/>
    <w:rsid w:val="007A1C32"/>
    <w:rsid w:val="007D49AB"/>
    <w:rsid w:val="00816EAA"/>
    <w:rsid w:val="00820988"/>
    <w:rsid w:val="00822F93"/>
    <w:rsid w:val="00862289"/>
    <w:rsid w:val="008A3164"/>
    <w:rsid w:val="008C438B"/>
    <w:rsid w:val="0096410B"/>
    <w:rsid w:val="00965961"/>
    <w:rsid w:val="009B131A"/>
    <w:rsid w:val="009B473C"/>
    <w:rsid w:val="009C6753"/>
    <w:rsid w:val="009D4A71"/>
    <w:rsid w:val="00A00098"/>
    <w:rsid w:val="00A01375"/>
    <w:rsid w:val="00A04AF0"/>
    <w:rsid w:val="00A16747"/>
    <w:rsid w:val="00A4461C"/>
    <w:rsid w:val="00A71A4F"/>
    <w:rsid w:val="00A93915"/>
    <w:rsid w:val="00AA3AB9"/>
    <w:rsid w:val="00AA6A62"/>
    <w:rsid w:val="00AB1C2E"/>
    <w:rsid w:val="00B146BC"/>
    <w:rsid w:val="00B23F58"/>
    <w:rsid w:val="00B3178B"/>
    <w:rsid w:val="00B54A04"/>
    <w:rsid w:val="00B87FE2"/>
    <w:rsid w:val="00B924A2"/>
    <w:rsid w:val="00B96DBC"/>
    <w:rsid w:val="00BA436B"/>
    <w:rsid w:val="00C042E5"/>
    <w:rsid w:val="00C3522E"/>
    <w:rsid w:val="00C47688"/>
    <w:rsid w:val="00C909B5"/>
    <w:rsid w:val="00CD1C37"/>
    <w:rsid w:val="00CF4B3E"/>
    <w:rsid w:val="00D5108C"/>
    <w:rsid w:val="00D81B4E"/>
    <w:rsid w:val="00DB5A6F"/>
    <w:rsid w:val="00DD6A4B"/>
    <w:rsid w:val="00E40E99"/>
    <w:rsid w:val="00E4777F"/>
    <w:rsid w:val="00EA4A1F"/>
    <w:rsid w:val="00EB69A3"/>
    <w:rsid w:val="00EE344B"/>
    <w:rsid w:val="00EF33E7"/>
    <w:rsid w:val="00F32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DC5ECCE"/>
  <w15:docId w15:val="{D3004349-1E6C-48C9-A23A-D9DFA732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rsid w:val="00BA436B"/>
    <w:rPr>
      <w:rFonts w:ascii="Courier New" w:hAnsi="Courier New" w:cs="Courier New"/>
    </w:rPr>
  </w:style>
  <w:style w:type="character" w:customStyle="1" w:styleId="PlainTextChar">
    <w:name w:val="Plain Text Char"/>
    <w:basedOn w:val="DefaultParagraphFont"/>
    <w:link w:val="PlainText"/>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 w:type="character" w:customStyle="1" w:styleId="cmscitem193465">
    <w:name w:val="cms_citem_193465"/>
    <w:basedOn w:val="DefaultParagraphFont"/>
    <w:rsid w:val="00037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A7EDE-E0E2-49BF-8229-40B91D30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0EF11D-EC5F-4D9C-B136-140E0E162178}">
  <ds:schemaRefs>
    <ds:schemaRef ds:uri="http://schemas.microsoft.com/sharepoint/v3/contenttype/forms"/>
  </ds:schemaRefs>
</ds:datastoreItem>
</file>

<file path=customXml/itemProps3.xml><?xml version="1.0" encoding="utf-8"?>
<ds:datastoreItem xmlns:ds="http://schemas.openxmlformats.org/officeDocument/2006/customXml" ds:itemID="{0AB5A947-2AF7-452E-905F-57C950E6A0C1}">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Dsouza, Rima</dc:creator>
  <cp:lastModifiedBy>Dsouza, Rima</cp:lastModifiedBy>
  <cp:revision>5</cp:revision>
  <dcterms:created xsi:type="dcterms:W3CDTF">2021-10-07T13:20:00Z</dcterms:created>
  <dcterms:modified xsi:type="dcterms:W3CDTF">2023-06-22T19:38:00Z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5" name="ContentTypeId">
    <vt:lpwstr>0x0101001393841FF044694F87FD5B256B00BC1E</vt:lpwstr>
  </property>
  <property fmtid="{D5CDD505-2E9C-101B-9397-08002B2CF9AE}" pid="7" name="_NewReviewCycle">
    <vt:lpwstr/>
  </property>
</Properties>
</file>