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49A2" w14:textId="77777777" w:rsidR="00432B3C" w:rsidRPr="00DD570C" w:rsidRDefault="00A4461C" w:rsidP="00432B3C">
      <w:pPr>
        <w:pStyle w:val="Heading1Sub-Heading"/>
      </w:pPr>
      <w:bookmarkStart w:id="0" w:name="_Toc328144057"/>
      <w:bookmarkStart w:id="1" w:name="_Toc336594671"/>
      <w:bookmarkStart w:id="2" w:name="_Toc328144059"/>
      <w:bookmarkStart w:id="3" w:name="_Toc336594674"/>
      <w:r w:rsidRPr="00A4461C">
        <w:t xml:space="preserve">FII Market Entry Requirements for </w:t>
      </w:r>
      <w:r w:rsidR="006C449B">
        <w:t>Malaysia</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000" w:firstRow="0" w:lastRow="0" w:firstColumn="0" w:lastColumn="0" w:noHBand="0" w:noVBand="0"/>
      </w:tblPr>
      <w:tblGrid>
        <w:gridCol w:w="1176"/>
        <w:gridCol w:w="80"/>
        <w:gridCol w:w="8499"/>
      </w:tblGrid>
      <w:tr w:rsidR="00A4461C" w14:paraId="288949A9" w14:textId="77777777" w:rsidTr="0000002F">
        <w:trPr>
          <w:tblCellSpacing w:w="15" w:type="dxa"/>
        </w:trPr>
        <w:tc>
          <w:tcPr>
            <w:tcW w:w="0" w:type="auto"/>
          </w:tcPr>
          <w:p w14:paraId="288949A3" w14:textId="77777777" w:rsidR="00A4461C" w:rsidRDefault="00A4461C" w:rsidP="006128CB">
            <w:pPr>
              <w:pStyle w:val="NormalWeb"/>
              <w:jc w:val="both"/>
              <w:rPr>
                <w:rFonts w:ascii="Verdana" w:hAnsi="Verdana"/>
                <w:sz w:val="18"/>
                <w:szCs w:val="18"/>
              </w:rPr>
            </w:pPr>
            <w:bookmarkStart w:id="4" w:name="_Toc385322898"/>
            <w:bookmarkEnd w:id="0"/>
            <w:bookmarkEnd w:id="1"/>
            <w:r>
              <w:rPr>
                <w:rFonts w:ascii="Verdana" w:hAnsi="Verdana"/>
                <w:b/>
                <w:bCs/>
                <w:sz w:val="18"/>
                <w:szCs w:val="18"/>
              </w:rPr>
              <w:t>Important</w:t>
            </w:r>
          </w:p>
        </w:tc>
        <w:tc>
          <w:tcPr>
            <w:tcW w:w="50" w:type="dxa"/>
          </w:tcPr>
          <w:p w14:paraId="288949A4" w14:textId="77777777" w:rsidR="00A4461C" w:rsidRDefault="00A4461C" w:rsidP="006128CB">
            <w:pPr>
              <w:pStyle w:val="NormalWeb"/>
              <w:jc w:val="both"/>
              <w:rPr>
                <w:rFonts w:ascii="Verdana" w:hAnsi="Verdana"/>
                <w:sz w:val="18"/>
                <w:szCs w:val="18"/>
              </w:rPr>
            </w:pPr>
          </w:p>
        </w:tc>
        <w:tc>
          <w:tcPr>
            <w:tcW w:w="8454" w:type="dxa"/>
          </w:tcPr>
          <w:p w14:paraId="288949A6" w14:textId="77777777" w:rsidR="005C4669" w:rsidRDefault="005C4669" w:rsidP="006C449B">
            <w:pPr>
              <w:pStyle w:val="NormalWeb"/>
              <w:rPr>
                <w:rFonts w:ascii="Verdana" w:hAnsi="Verdana"/>
                <w:color w:val="757575"/>
                <w:sz w:val="18"/>
                <w:szCs w:val="18"/>
              </w:rPr>
            </w:pPr>
            <w:bookmarkStart w:id="5" w:name="_GoBack"/>
            <w:bookmarkEnd w:id="5"/>
            <w:r>
              <w:rPr>
                <w:rFonts w:ascii="Verdana" w:hAnsi="Verdana"/>
                <w:color w:val="757575"/>
                <w:sz w:val="18"/>
                <w:szCs w:val="18"/>
              </w:rPr>
              <w:t>Account structure Trust: omnibus for trading equities, segregated for trading fixed income</w:t>
            </w:r>
          </w:p>
          <w:p w14:paraId="288949A7" w14:textId="1A0AC835" w:rsidR="006C449B" w:rsidRPr="006C449B" w:rsidRDefault="005C4669" w:rsidP="006C449B">
            <w:pPr>
              <w:pStyle w:val="NormalWeb"/>
              <w:rPr>
                <w:rFonts w:ascii="Verdana" w:hAnsi="Verdana"/>
                <w:color w:val="757575"/>
                <w:sz w:val="18"/>
                <w:szCs w:val="18"/>
              </w:rPr>
            </w:pPr>
            <w:r>
              <w:rPr>
                <w:rFonts w:ascii="Verdana" w:hAnsi="Verdana"/>
                <w:color w:val="757575"/>
                <w:sz w:val="18"/>
                <w:szCs w:val="18"/>
              </w:rPr>
              <w:t>A</w:t>
            </w:r>
            <w:r w:rsidR="006C449B" w:rsidRPr="006C449B">
              <w:rPr>
                <w:rFonts w:ascii="Verdana" w:hAnsi="Verdana"/>
                <w:color w:val="757575"/>
                <w:sz w:val="18"/>
                <w:szCs w:val="18"/>
              </w:rPr>
              <w:t xml:space="preserve">ll investors, both residents and non-residents (excluding individual investors) investing in Malaysian debt securities should open RENTAS segregated account. The account holder is deemed </w:t>
            </w:r>
            <w:r w:rsidR="0092254D" w:rsidRPr="006C449B">
              <w:rPr>
                <w:rFonts w:ascii="Verdana" w:hAnsi="Verdana"/>
                <w:color w:val="757575"/>
                <w:sz w:val="18"/>
                <w:szCs w:val="18"/>
              </w:rPr>
              <w:t>the</w:t>
            </w:r>
            <w:r w:rsidR="006C449B" w:rsidRPr="006C449B">
              <w:rPr>
                <w:rFonts w:ascii="Verdana" w:hAnsi="Verdana"/>
                <w:color w:val="757575"/>
                <w:sz w:val="18"/>
                <w:szCs w:val="18"/>
              </w:rPr>
              <w:t xml:space="preserve"> beneficial owner of the securities. </w:t>
            </w:r>
            <w:r w:rsidR="00F13BB4">
              <w:rPr>
                <w:rFonts w:ascii="Verdana" w:hAnsi="Verdana"/>
                <w:color w:val="757575"/>
                <w:sz w:val="18"/>
                <w:szCs w:val="18"/>
              </w:rPr>
              <w:t>For Trust, a</w:t>
            </w:r>
            <w:r w:rsidR="006C449B" w:rsidRPr="006C449B">
              <w:rPr>
                <w:rFonts w:ascii="Verdana" w:hAnsi="Verdana"/>
                <w:color w:val="757575"/>
                <w:sz w:val="18"/>
                <w:szCs w:val="18"/>
              </w:rPr>
              <w:t>ll segregated securities accounts will be linked to the omnibus cash account.</w:t>
            </w:r>
          </w:p>
          <w:p w14:paraId="288949A8" w14:textId="224D718A" w:rsidR="00A4461C" w:rsidRDefault="006C449B" w:rsidP="006C449B">
            <w:pPr>
              <w:spacing w:before="100" w:beforeAutospacing="1" w:after="100" w:afterAutospacing="1"/>
              <w:jc w:val="both"/>
              <w:rPr>
                <w:rFonts w:ascii="Verdana" w:hAnsi="Verdana"/>
                <w:color w:val="757575"/>
                <w:sz w:val="18"/>
                <w:szCs w:val="18"/>
              </w:rPr>
            </w:pPr>
            <w:r w:rsidRPr="006C449B">
              <w:rPr>
                <w:rFonts w:ascii="Verdana" w:hAnsi="Verdana"/>
                <w:color w:val="757575"/>
                <w:sz w:val="18"/>
                <w:szCs w:val="18"/>
              </w:rPr>
              <w:t>Note: As part of the FII account opening process</w:t>
            </w:r>
            <w:r w:rsidR="00F13BB4">
              <w:rPr>
                <w:rFonts w:ascii="Verdana" w:hAnsi="Verdana"/>
                <w:color w:val="757575"/>
                <w:sz w:val="18"/>
                <w:szCs w:val="18"/>
              </w:rPr>
              <w:t>,</w:t>
            </w:r>
            <w:r w:rsidRPr="006C449B">
              <w:rPr>
                <w:rFonts w:ascii="Verdana" w:hAnsi="Verdana"/>
                <w:color w:val="757575"/>
                <w:sz w:val="18"/>
                <w:szCs w:val="18"/>
              </w:rPr>
              <w:t xml:space="preserve"> all documentation must show exactly the same investor name</w:t>
            </w:r>
            <w:r w:rsidR="00F13BB4">
              <w:rPr>
                <w:rFonts w:ascii="Verdana" w:hAnsi="Verdana"/>
                <w:color w:val="757575"/>
                <w:sz w:val="18"/>
                <w:szCs w:val="18"/>
              </w:rPr>
              <w:t>.</w:t>
            </w:r>
          </w:p>
        </w:tc>
      </w:tr>
      <w:tr w:rsidR="00A4461C" w:rsidRPr="0039497B" w14:paraId="288949AD" w14:textId="77777777" w:rsidTr="0000002F">
        <w:trPr>
          <w:tblCellSpacing w:w="15" w:type="dxa"/>
        </w:trPr>
        <w:tc>
          <w:tcPr>
            <w:tcW w:w="0" w:type="auto"/>
          </w:tcPr>
          <w:p w14:paraId="48E71A60" w14:textId="77777777" w:rsidR="0092254D" w:rsidRDefault="0092254D" w:rsidP="006128CB">
            <w:pPr>
              <w:pStyle w:val="NormalWeb"/>
              <w:jc w:val="both"/>
              <w:rPr>
                <w:rFonts w:ascii="Verdana" w:hAnsi="Verdana"/>
                <w:b/>
                <w:bCs/>
                <w:sz w:val="18"/>
                <w:szCs w:val="18"/>
              </w:rPr>
            </w:pPr>
          </w:p>
          <w:p w14:paraId="288949AA" w14:textId="77777777" w:rsidR="00A4461C" w:rsidRDefault="00A4461C" w:rsidP="006128CB">
            <w:pPr>
              <w:pStyle w:val="NormalWeb"/>
              <w:jc w:val="both"/>
              <w:rPr>
                <w:rFonts w:ascii="Verdana" w:hAnsi="Verdana"/>
                <w:sz w:val="18"/>
                <w:szCs w:val="18"/>
              </w:rPr>
            </w:pPr>
            <w:r>
              <w:rPr>
                <w:rFonts w:ascii="Verdana" w:hAnsi="Verdana"/>
                <w:b/>
                <w:bCs/>
                <w:sz w:val="18"/>
                <w:szCs w:val="18"/>
              </w:rPr>
              <w:t>Fees</w:t>
            </w:r>
          </w:p>
        </w:tc>
        <w:tc>
          <w:tcPr>
            <w:tcW w:w="50" w:type="dxa"/>
          </w:tcPr>
          <w:p w14:paraId="288949AB" w14:textId="77777777" w:rsidR="00A4461C" w:rsidRPr="007C001A" w:rsidRDefault="00A4461C" w:rsidP="006128CB">
            <w:pPr>
              <w:pStyle w:val="NormalWeb"/>
              <w:jc w:val="both"/>
              <w:rPr>
                <w:rFonts w:ascii="Verdana" w:hAnsi="Verdana"/>
                <w:sz w:val="18"/>
                <w:szCs w:val="18"/>
              </w:rPr>
            </w:pPr>
          </w:p>
        </w:tc>
        <w:tc>
          <w:tcPr>
            <w:tcW w:w="8454" w:type="dxa"/>
          </w:tcPr>
          <w:p w14:paraId="64432FC6" w14:textId="77777777" w:rsidR="0092254D" w:rsidRDefault="0092254D" w:rsidP="006128CB">
            <w:pPr>
              <w:spacing w:before="100" w:beforeAutospacing="1" w:after="100" w:afterAutospacing="1"/>
              <w:jc w:val="both"/>
              <w:rPr>
                <w:rFonts w:ascii="Verdana" w:hAnsi="Verdana"/>
                <w:color w:val="757575"/>
                <w:sz w:val="18"/>
                <w:szCs w:val="18"/>
              </w:rPr>
            </w:pPr>
          </w:p>
          <w:p w14:paraId="288949AC" w14:textId="77777777" w:rsidR="00A4461C" w:rsidRPr="006C449B" w:rsidRDefault="006C449B" w:rsidP="006128CB">
            <w:pPr>
              <w:spacing w:before="100" w:beforeAutospacing="1" w:after="100" w:afterAutospacing="1"/>
              <w:jc w:val="both"/>
              <w:rPr>
                <w:rFonts w:ascii="Verdana" w:hAnsi="Verdana"/>
                <w:color w:val="757575"/>
                <w:sz w:val="18"/>
                <w:szCs w:val="18"/>
              </w:rPr>
            </w:pPr>
            <w:r w:rsidRPr="006C449B">
              <w:rPr>
                <w:rFonts w:ascii="Verdana" w:hAnsi="Verdana"/>
                <w:color w:val="757575"/>
                <w:sz w:val="18"/>
                <w:szCs w:val="18"/>
              </w:rPr>
              <w:t>None</w:t>
            </w:r>
          </w:p>
        </w:tc>
      </w:tr>
      <w:tr w:rsidR="00A4461C" w14:paraId="288949B1" w14:textId="77777777" w:rsidTr="0000002F">
        <w:trPr>
          <w:tblCellSpacing w:w="15" w:type="dxa"/>
        </w:trPr>
        <w:tc>
          <w:tcPr>
            <w:tcW w:w="0" w:type="auto"/>
          </w:tcPr>
          <w:p w14:paraId="288949AE" w14:textId="77777777" w:rsidR="00A4461C" w:rsidRDefault="00A4461C" w:rsidP="006128CB">
            <w:pPr>
              <w:pStyle w:val="NormalWeb"/>
              <w:jc w:val="both"/>
              <w:rPr>
                <w:rFonts w:ascii="Verdana" w:hAnsi="Verdana"/>
                <w:sz w:val="18"/>
                <w:szCs w:val="18"/>
              </w:rPr>
            </w:pPr>
            <w:r>
              <w:rPr>
                <w:rFonts w:ascii="Verdana" w:hAnsi="Verdana"/>
                <w:b/>
                <w:bCs/>
                <w:sz w:val="18"/>
                <w:szCs w:val="18"/>
              </w:rPr>
              <w:t xml:space="preserve">Tax Consultant </w:t>
            </w:r>
          </w:p>
        </w:tc>
        <w:tc>
          <w:tcPr>
            <w:tcW w:w="50" w:type="dxa"/>
          </w:tcPr>
          <w:p w14:paraId="288949AF" w14:textId="77777777" w:rsidR="00A4461C" w:rsidRDefault="00A4461C" w:rsidP="006128CB">
            <w:pPr>
              <w:pStyle w:val="NormalWeb"/>
              <w:jc w:val="both"/>
              <w:rPr>
                <w:rFonts w:ascii="Verdana" w:hAnsi="Verdana"/>
                <w:sz w:val="18"/>
                <w:szCs w:val="18"/>
              </w:rPr>
            </w:pPr>
          </w:p>
        </w:tc>
        <w:tc>
          <w:tcPr>
            <w:tcW w:w="8454" w:type="dxa"/>
          </w:tcPr>
          <w:p w14:paraId="28133FD8" w14:textId="77777777" w:rsidR="0092254D" w:rsidRDefault="0092254D" w:rsidP="006128CB">
            <w:pPr>
              <w:spacing w:before="100" w:beforeAutospacing="1" w:after="100" w:afterAutospacing="1"/>
              <w:jc w:val="both"/>
              <w:rPr>
                <w:rFonts w:ascii="Verdana" w:hAnsi="Verdana"/>
                <w:color w:val="757575"/>
                <w:sz w:val="18"/>
                <w:szCs w:val="18"/>
              </w:rPr>
            </w:pPr>
          </w:p>
          <w:p w14:paraId="090282FA" w14:textId="77777777" w:rsidR="0092254D" w:rsidRDefault="006C449B" w:rsidP="006128CB">
            <w:pPr>
              <w:spacing w:before="100" w:beforeAutospacing="1" w:after="100" w:afterAutospacing="1"/>
              <w:jc w:val="both"/>
              <w:rPr>
                <w:rFonts w:ascii="Verdana" w:hAnsi="Verdana"/>
                <w:color w:val="757575"/>
                <w:sz w:val="18"/>
                <w:szCs w:val="18"/>
              </w:rPr>
            </w:pPr>
            <w:r w:rsidRPr="006C449B">
              <w:rPr>
                <w:rFonts w:ascii="Verdana" w:hAnsi="Verdana"/>
                <w:color w:val="757575"/>
                <w:sz w:val="18"/>
                <w:szCs w:val="18"/>
              </w:rPr>
              <w:t>N</w:t>
            </w:r>
            <w:r>
              <w:rPr>
                <w:rFonts w:ascii="Verdana" w:hAnsi="Verdana"/>
                <w:color w:val="757575"/>
                <w:sz w:val="18"/>
                <w:szCs w:val="18"/>
              </w:rPr>
              <w:t>ot required</w:t>
            </w:r>
          </w:p>
          <w:p w14:paraId="288949B0" w14:textId="40676E56" w:rsidR="00A4461C" w:rsidRPr="006C449B" w:rsidRDefault="00A4461C" w:rsidP="006128CB">
            <w:pPr>
              <w:spacing w:before="100" w:beforeAutospacing="1" w:after="100" w:afterAutospacing="1"/>
              <w:jc w:val="both"/>
              <w:rPr>
                <w:rFonts w:ascii="Verdana" w:hAnsi="Verdana"/>
                <w:color w:val="757575"/>
                <w:sz w:val="18"/>
                <w:szCs w:val="18"/>
              </w:rPr>
            </w:pPr>
          </w:p>
        </w:tc>
      </w:tr>
      <w:tr w:rsidR="0000002F" w14:paraId="288949B5" w14:textId="77777777" w:rsidTr="0000002F">
        <w:trPr>
          <w:tblCellSpacing w:w="15" w:type="dxa"/>
        </w:trPr>
        <w:tc>
          <w:tcPr>
            <w:tcW w:w="0" w:type="auto"/>
          </w:tcPr>
          <w:p w14:paraId="288949B2" w14:textId="77777777" w:rsidR="0000002F" w:rsidRDefault="0000002F" w:rsidP="006128CB">
            <w:pPr>
              <w:pStyle w:val="NormalWeb"/>
              <w:jc w:val="both"/>
              <w:rPr>
                <w:rFonts w:ascii="Verdana" w:hAnsi="Verdana"/>
                <w:b/>
                <w:bCs/>
                <w:sz w:val="18"/>
                <w:szCs w:val="18"/>
              </w:rPr>
            </w:pPr>
            <w:r>
              <w:rPr>
                <w:rFonts w:ascii="Verdana" w:hAnsi="Verdana"/>
                <w:b/>
                <w:bCs/>
                <w:sz w:val="18"/>
                <w:szCs w:val="18"/>
              </w:rPr>
              <w:t xml:space="preserve">E-signature  </w:t>
            </w:r>
          </w:p>
        </w:tc>
        <w:tc>
          <w:tcPr>
            <w:tcW w:w="50" w:type="dxa"/>
          </w:tcPr>
          <w:p w14:paraId="288949B3" w14:textId="77777777" w:rsidR="0000002F" w:rsidRDefault="0000002F" w:rsidP="006128CB">
            <w:pPr>
              <w:pStyle w:val="NormalWeb"/>
              <w:jc w:val="both"/>
              <w:rPr>
                <w:rFonts w:ascii="Verdana" w:hAnsi="Verdana"/>
                <w:sz w:val="18"/>
                <w:szCs w:val="18"/>
              </w:rPr>
            </w:pPr>
          </w:p>
        </w:tc>
        <w:tc>
          <w:tcPr>
            <w:tcW w:w="8454" w:type="dxa"/>
          </w:tcPr>
          <w:p w14:paraId="288949B4" w14:textId="15C88031" w:rsidR="0000002F" w:rsidRPr="00C457C6" w:rsidRDefault="006C449B" w:rsidP="00CD1E04">
            <w:pPr>
              <w:spacing w:before="100" w:beforeAutospacing="1" w:after="100" w:afterAutospacing="1"/>
              <w:jc w:val="both"/>
              <w:rPr>
                <w:rFonts w:ascii="Verdana" w:hAnsi="Verdana"/>
                <w:color w:val="757575"/>
                <w:sz w:val="18"/>
                <w:szCs w:val="18"/>
              </w:rPr>
            </w:pPr>
            <w:r>
              <w:rPr>
                <w:rFonts w:ascii="Verdana" w:hAnsi="Verdana"/>
                <w:color w:val="757575"/>
                <w:sz w:val="18"/>
                <w:szCs w:val="18"/>
              </w:rPr>
              <w:t>Not applicable</w:t>
            </w:r>
          </w:p>
        </w:tc>
      </w:tr>
      <w:bookmarkEnd w:id="4"/>
    </w:tbl>
    <w:p w14:paraId="288949B6" w14:textId="77777777" w:rsidR="00F36616" w:rsidRDefault="00F36616" w:rsidP="00432B3C">
      <w:pPr>
        <w:pStyle w:val="Heading2"/>
      </w:pPr>
    </w:p>
    <w:p w14:paraId="288949B7" w14:textId="77777777" w:rsidR="00F36616" w:rsidRDefault="00F36616" w:rsidP="00432B3C">
      <w:pPr>
        <w:pStyle w:val="Heading2"/>
      </w:pPr>
    </w:p>
    <w:p w14:paraId="288949B8" w14:textId="77777777" w:rsidR="00F36616" w:rsidRDefault="00F36616" w:rsidP="00432B3C">
      <w:pPr>
        <w:pStyle w:val="Heading2"/>
      </w:pPr>
    </w:p>
    <w:p w14:paraId="7064AB50" w14:textId="77777777" w:rsidR="00834D34" w:rsidRDefault="00834D34">
      <w:pPr>
        <w:adjustRightInd/>
        <w:spacing w:before="0" w:after="200" w:line="276" w:lineRule="auto"/>
      </w:pPr>
    </w:p>
    <w:p w14:paraId="610D1465" w14:textId="77777777" w:rsidR="00834D34" w:rsidRDefault="00834D34">
      <w:pPr>
        <w:adjustRightInd/>
        <w:spacing w:before="0" w:after="200" w:line="276" w:lineRule="auto"/>
      </w:pPr>
    </w:p>
    <w:p w14:paraId="4DD45C1B" w14:textId="77777777" w:rsidR="00834D34" w:rsidRDefault="00834D34">
      <w:pPr>
        <w:adjustRightInd/>
        <w:spacing w:before="0" w:after="200" w:line="276" w:lineRule="auto"/>
      </w:pPr>
    </w:p>
    <w:p w14:paraId="66DE437C" w14:textId="77777777" w:rsidR="00834D34" w:rsidRDefault="00834D34">
      <w:pPr>
        <w:adjustRightInd/>
        <w:spacing w:before="0" w:after="200" w:line="276" w:lineRule="auto"/>
      </w:pPr>
    </w:p>
    <w:p w14:paraId="77CFD76B" w14:textId="77777777" w:rsidR="00834D34" w:rsidRDefault="00834D34">
      <w:pPr>
        <w:adjustRightInd/>
        <w:spacing w:before="0" w:after="200" w:line="276" w:lineRule="auto"/>
      </w:pPr>
    </w:p>
    <w:p w14:paraId="7B8808DF" w14:textId="77777777" w:rsidR="00834D34" w:rsidRDefault="00834D34">
      <w:pPr>
        <w:adjustRightInd/>
        <w:spacing w:before="0" w:after="200" w:line="276" w:lineRule="auto"/>
      </w:pPr>
    </w:p>
    <w:p w14:paraId="2CC94D85" w14:textId="77777777" w:rsidR="00834D34" w:rsidRDefault="00834D34">
      <w:pPr>
        <w:adjustRightInd/>
        <w:spacing w:before="0" w:after="200" w:line="276" w:lineRule="auto"/>
      </w:pPr>
    </w:p>
    <w:p w14:paraId="41AFC08E" w14:textId="77777777" w:rsidR="00834D34" w:rsidRDefault="00834D34">
      <w:pPr>
        <w:adjustRightInd/>
        <w:spacing w:before="0" w:after="200" w:line="276" w:lineRule="auto"/>
      </w:pPr>
    </w:p>
    <w:p w14:paraId="0E7AEE3E" w14:textId="77777777" w:rsidR="00834D34" w:rsidRDefault="00834D34">
      <w:pPr>
        <w:adjustRightInd/>
        <w:spacing w:before="0" w:after="200" w:line="276" w:lineRule="auto"/>
      </w:pPr>
    </w:p>
    <w:p w14:paraId="288949BB" w14:textId="77777777" w:rsidR="00432B3C" w:rsidRPr="0000002F" w:rsidRDefault="00A4461C" w:rsidP="00432B3C">
      <w:pPr>
        <w:pStyle w:val="Heading2"/>
      </w:pPr>
      <w:r w:rsidRPr="0000002F">
        <w:lastRenderedPageBreak/>
        <w:t>Account Opening</w:t>
      </w:r>
    </w:p>
    <w:p w14:paraId="288949BC" w14:textId="77777777" w:rsidR="00A4461C" w:rsidRDefault="00A4461C" w:rsidP="00A4461C">
      <w:pPr>
        <w:pStyle w:val="NormalWeb"/>
        <w:spacing w:after="0"/>
        <w:jc w:val="both"/>
        <w:rPr>
          <w:rFonts w:ascii="Verdana" w:hAnsi="Verdana"/>
          <w:b/>
          <w:sz w:val="18"/>
          <w:szCs w:val="18"/>
        </w:rPr>
      </w:pPr>
      <w:bookmarkStart w:id="6" w:name="_Toc336594673"/>
      <w:bookmarkStart w:id="7" w:name="_Toc385322899"/>
      <w:r w:rsidRPr="00C457C6">
        <w:rPr>
          <w:rFonts w:ascii="Verdana" w:hAnsi="Verdana"/>
          <w:b/>
          <w:sz w:val="18"/>
          <w:szCs w:val="18"/>
        </w:rPr>
        <w:t xml:space="preserve">Documentation </w:t>
      </w:r>
      <w:r>
        <w:rPr>
          <w:rFonts w:ascii="Verdana" w:hAnsi="Verdana"/>
          <w:b/>
          <w:sz w:val="18"/>
          <w:szCs w:val="18"/>
        </w:rPr>
        <w:t>Required by the Agent</w:t>
      </w:r>
    </w:p>
    <w:p w14:paraId="288949BD" w14:textId="77777777" w:rsidR="00A4461C" w:rsidRPr="005C4669" w:rsidRDefault="005C4669" w:rsidP="0000002F">
      <w:pPr>
        <w:pStyle w:val="ListParagraph"/>
        <w:numPr>
          <w:ilvl w:val="0"/>
          <w:numId w:val="31"/>
        </w:numPr>
        <w:spacing w:before="100" w:beforeAutospacing="1" w:after="100" w:afterAutospacing="1"/>
        <w:contextualSpacing/>
        <w:rPr>
          <w:rFonts w:ascii="Verdana" w:hAnsi="Verdana"/>
          <w:b/>
          <w:i/>
          <w:iCs/>
          <w:color w:val="757575"/>
          <w:sz w:val="18"/>
          <w:szCs w:val="18"/>
        </w:rPr>
      </w:pPr>
      <w:r>
        <w:rPr>
          <w:rFonts w:ascii="Verdana" w:hAnsi="Verdana"/>
          <w:b/>
          <w:color w:val="757575"/>
          <w:sz w:val="18"/>
          <w:szCs w:val="18"/>
        </w:rPr>
        <w:t>Document supporting the name of the applicant</w:t>
      </w:r>
      <w:r w:rsidR="00A4461C" w:rsidRPr="0000002F">
        <w:rPr>
          <w:rFonts w:ascii="Verdana" w:hAnsi="Verdana"/>
          <w:b/>
          <w:color w:val="757575"/>
          <w:sz w:val="18"/>
          <w:szCs w:val="18"/>
        </w:rPr>
        <w:t xml:space="preserve"> – </w:t>
      </w:r>
      <w:r>
        <w:rPr>
          <w:rFonts w:ascii="Verdana" w:hAnsi="Verdana"/>
          <w:i/>
          <w:iCs/>
          <w:color w:val="757575"/>
          <w:sz w:val="18"/>
          <w:szCs w:val="18"/>
        </w:rPr>
        <w:t>by email</w:t>
      </w:r>
    </w:p>
    <w:p w14:paraId="288949BE" w14:textId="77777777" w:rsidR="005C4669" w:rsidRPr="005C4669" w:rsidRDefault="005C4669" w:rsidP="0000002F">
      <w:pPr>
        <w:pStyle w:val="ListParagraph"/>
        <w:numPr>
          <w:ilvl w:val="0"/>
          <w:numId w:val="31"/>
        </w:numPr>
        <w:spacing w:before="100" w:beforeAutospacing="1" w:after="100" w:afterAutospacing="1"/>
        <w:contextualSpacing/>
        <w:rPr>
          <w:rFonts w:ascii="Verdana" w:hAnsi="Verdana"/>
          <w:b/>
          <w:i/>
          <w:iCs/>
          <w:color w:val="757575"/>
          <w:sz w:val="18"/>
          <w:szCs w:val="18"/>
        </w:rPr>
      </w:pPr>
      <w:r>
        <w:rPr>
          <w:rFonts w:ascii="Verdana" w:hAnsi="Verdana"/>
          <w:b/>
          <w:color w:val="757575"/>
          <w:sz w:val="18"/>
          <w:szCs w:val="18"/>
        </w:rPr>
        <w:t xml:space="preserve">Client’s information – </w:t>
      </w:r>
      <w:r w:rsidRPr="005C4669">
        <w:rPr>
          <w:rFonts w:ascii="Verdana" w:hAnsi="Verdana"/>
          <w:i/>
          <w:iCs/>
          <w:color w:val="757575"/>
          <w:sz w:val="18"/>
          <w:szCs w:val="18"/>
        </w:rPr>
        <w:t>by email</w:t>
      </w:r>
    </w:p>
    <w:p w14:paraId="288949BF" w14:textId="77777777" w:rsidR="005C4669" w:rsidRPr="005C4669" w:rsidRDefault="005C4669" w:rsidP="0092254D">
      <w:pPr>
        <w:spacing w:before="100" w:beforeAutospacing="1" w:after="100" w:afterAutospacing="1"/>
        <w:ind w:left="360" w:hanging="360"/>
        <w:contextualSpacing/>
        <w:rPr>
          <w:rFonts w:ascii="Verdana" w:hAnsi="Verdana"/>
          <w:b/>
          <w:i/>
          <w:iCs/>
          <w:color w:val="757575"/>
          <w:sz w:val="18"/>
          <w:szCs w:val="18"/>
        </w:rPr>
      </w:pPr>
      <w:r w:rsidRPr="005C4669">
        <w:rPr>
          <w:rFonts w:ascii="Verdana" w:hAnsi="Verdana"/>
          <w:b/>
          <w:i/>
          <w:iCs/>
          <w:color w:val="757575"/>
          <w:sz w:val="18"/>
          <w:szCs w:val="18"/>
        </w:rPr>
        <w:t>1.</w:t>
      </w:r>
      <w:r w:rsidRPr="005C4669">
        <w:rPr>
          <w:rFonts w:ascii="Verdana" w:hAnsi="Verdana"/>
          <w:b/>
          <w:i/>
          <w:iCs/>
          <w:color w:val="757575"/>
          <w:sz w:val="18"/>
          <w:szCs w:val="18"/>
        </w:rPr>
        <w:tab/>
        <w:t>Full name</w:t>
      </w:r>
      <w:r>
        <w:rPr>
          <w:rFonts w:ascii="Verdana" w:hAnsi="Verdana"/>
          <w:b/>
          <w:i/>
          <w:iCs/>
          <w:color w:val="757575"/>
          <w:sz w:val="18"/>
          <w:szCs w:val="18"/>
        </w:rPr>
        <w:t xml:space="preserve"> of the beneficial owner</w:t>
      </w:r>
    </w:p>
    <w:p w14:paraId="57BC78FA" w14:textId="06D92ACD" w:rsidR="00F13BB4" w:rsidRDefault="005C4669" w:rsidP="0092254D">
      <w:pPr>
        <w:spacing w:before="100" w:beforeAutospacing="1" w:after="100" w:afterAutospacing="1"/>
        <w:ind w:left="360" w:hanging="360"/>
        <w:contextualSpacing/>
        <w:rPr>
          <w:rFonts w:ascii="Verdana" w:hAnsi="Verdana"/>
          <w:b/>
          <w:i/>
          <w:iCs/>
          <w:color w:val="757575"/>
          <w:sz w:val="18"/>
          <w:szCs w:val="18"/>
        </w:rPr>
      </w:pPr>
      <w:r w:rsidRPr="005C4669">
        <w:rPr>
          <w:rFonts w:ascii="Verdana" w:hAnsi="Verdana"/>
          <w:b/>
          <w:i/>
          <w:iCs/>
          <w:color w:val="757575"/>
          <w:sz w:val="18"/>
          <w:szCs w:val="18"/>
        </w:rPr>
        <w:t>2.</w:t>
      </w:r>
      <w:r w:rsidRPr="005C4669">
        <w:rPr>
          <w:rFonts w:ascii="Verdana" w:hAnsi="Verdana"/>
          <w:b/>
          <w:i/>
          <w:iCs/>
          <w:color w:val="757575"/>
          <w:sz w:val="18"/>
          <w:szCs w:val="18"/>
        </w:rPr>
        <w:tab/>
      </w:r>
      <w:r w:rsidR="00F13BB4" w:rsidRPr="005C4669">
        <w:rPr>
          <w:rFonts w:ascii="Verdana" w:hAnsi="Verdana"/>
          <w:b/>
          <w:i/>
          <w:iCs/>
          <w:color w:val="757575"/>
          <w:sz w:val="18"/>
          <w:szCs w:val="18"/>
        </w:rPr>
        <w:t>Tax Domicile</w:t>
      </w:r>
    </w:p>
    <w:p w14:paraId="50DC9A58" w14:textId="1B509F7E" w:rsidR="00F13BB4" w:rsidRPr="005C4669" w:rsidRDefault="005C4669" w:rsidP="00F13BB4">
      <w:pPr>
        <w:spacing w:before="100" w:beforeAutospacing="1" w:after="100" w:afterAutospacing="1"/>
        <w:ind w:left="360" w:hanging="360"/>
        <w:contextualSpacing/>
        <w:rPr>
          <w:rFonts w:ascii="Verdana" w:hAnsi="Verdana"/>
          <w:b/>
          <w:i/>
          <w:iCs/>
          <w:color w:val="757575"/>
          <w:sz w:val="18"/>
          <w:szCs w:val="18"/>
        </w:rPr>
      </w:pPr>
      <w:r w:rsidRPr="005C4669">
        <w:rPr>
          <w:rFonts w:ascii="Verdana" w:hAnsi="Verdana"/>
          <w:b/>
          <w:i/>
          <w:iCs/>
          <w:color w:val="757575"/>
          <w:sz w:val="18"/>
          <w:szCs w:val="18"/>
        </w:rPr>
        <w:t>3.</w:t>
      </w:r>
      <w:r w:rsidRPr="005C4669">
        <w:rPr>
          <w:rFonts w:ascii="Verdana" w:hAnsi="Verdana"/>
          <w:b/>
          <w:i/>
          <w:iCs/>
          <w:color w:val="757575"/>
          <w:sz w:val="18"/>
          <w:szCs w:val="18"/>
        </w:rPr>
        <w:tab/>
      </w:r>
      <w:r w:rsidR="00F13BB4" w:rsidRPr="005C4669">
        <w:rPr>
          <w:rFonts w:ascii="Verdana" w:hAnsi="Verdana"/>
          <w:b/>
          <w:i/>
          <w:iCs/>
          <w:color w:val="757575"/>
          <w:sz w:val="18"/>
          <w:szCs w:val="18"/>
        </w:rPr>
        <w:t>Country of incorporation</w:t>
      </w:r>
    </w:p>
    <w:p w14:paraId="288949C4" w14:textId="3AE04736" w:rsidR="005C4669" w:rsidRDefault="00F13BB4" w:rsidP="00F13BB4">
      <w:pPr>
        <w:spacing w:before="100" w:beforeAutospacing="1" w:after="100" w:afterAutospacing="1"/>
        <w:ind w:left="360" w:hanging="360"/>
        <w:contextualSpacing/>
        <w:rPr>
          <w:rFonts w:ascii="Verdana" w:hAnsi="Verdana"/>
          <w:b/>
          <w:i/>
          <w:iCs/>
          <w:color w:val="757575"/>
          <w:sz w:val="18"/>
          <w:szCs w:val="18"/>
        </w:rPr>
      </w:pPr>
      <w:r>
        <w:rPr>
          <w:rFonts w:ascii="Verdana" w:hAnsi="Verdana"/>
          <w:b/>
          <w:i/>
          <w:iCs/>
          <w:color w:val="757575"/>
          <w:sz w:val="18"/>
          <w:szCs w:val="18"/>
        </w:rPr>
        <w:t>4.</w:t>
      </w:r>
      <w:r>
        <w:rPr>
          <w:rFonts w:ascii="Verdana" w:hAnsi="Verdana"/>
          <w:b/>
          <w:i/>
          <w:iCs/>
          <w:color w:val="757575"/>
          <w:sz w:val="18"/>
          <w:szCs w:val="18"/>
        </w:rPr>
        <w:tab/>
      </w:r>
      <w:r w:rsidRPr="005C4669">
        <w:rPr>
          <w:rFonts w:ascii="Verdana" w:hAnsi="Verdana"/>
          <w:b/>
          <w:i/>
          <w:iCs/>
          <w:color w:val="757575"/>
          <w:sz w:val="18"/>
          <w:szCs w:val="18"/>
        </w:rPr>
        <w:t>Identification number/Business registrations number</w:t>
      </w:r>
    </w:p>
    <w:p w14:paraId="288949C5" w14:textId="33E3E902" w:rsidR="005C4669" w:rsidRDefault="00F13BB4" w:rsidP="0092254D">
      <w:pPr>
        <w:spacing w:before="100" w:beforeAutospacing="1" w:after="100" w:afterAutospacing="1"/>
        <w:ind w:left="360" w:hanging="360"/>
        <w:contextualSpacing/>
        <w:rPr>
          <w:rFonts w:ascii="Verdana" w:hAnsi="Verdana"/>
          <w:b/>
          <w:i/>
          <w:iCs/>
          <w:color w:val="757575"/>
          <w:sz w:val="18"/>
          <w:szCs w:val="18"/>
        </w:rPr>
      </w:pPr>
      <w:r>
        <w:rPr>
          <w:rFonts w:ascii="Verdana" w:hAnsi="Verdana"/>
          <w:b/>
          <w:i/>
          <w:iCs/>
          <w:color w:val="757575"/>
          <w:sz w:val="18"/>
          <w:szCs w:val="18"/>
        </w:rPr>
        <w:t>5.</w:t>
      </w:r>
      <w:r>
        <w:rPr>
          <w:rFonts w:ascii="Verdana" w:hAnsi="Verdana"/>
          <w:b/>
          <w:i/>
          <w:iCs/>
          <w:color w:val="757575"/>
          <w:sz w:val="18"/>
          <w:szCs w:val="18"/>
        </w:rPr>
        <w:tab/>
      </w:r>
      <w:r w:rsidR="005C4669" w:rsidRPr="005C4669">
        <w:rPr>
          <w:rFonts w:ascii="Verdana" w:hAnsi="Verdana"/>
          <w:b/>
          <w:i/>
          <w:iCs/>
          <w:color w:val="757575"/>
          <w:sz w:val="18"/>
          <w:szCs w:val="18"/>
        </w:rPr>
        <w:t>Legal Entity Identifier (LEI)</w:t>
      </w:r>
    </w:p>
    <w:p w14:paraId="4D73278C" w14:textId="0818BED9" w:rsidR="00F13BB4" w:rsidRPr="005C4669" w:rsidRDefault="00F13BB4" w:rsidP="0092254D">
      <w:pPr>
        <w:spacing w:before="100" w:beforeAutospacing="1" w:after="100" w:afterAutospacing="1"/>
        <w:ind w:left="360" w:hanging="360"/>
        <w:contextualSpacing/>
        <w:rPr>
          <w:rFonts w:ascii="Verdana" w:hAnsi="Verdana"/>
          <w:b/>
          <w:i/>
          <w:iCs/>
          <w:color w:val="757575"/>
          <w:sz w:val="18"/>
          <w:szCs w:val="18"/>
        </w:rPr>
      </w:pPr>
      <w:r>
        <w:rPr>
          <w:rFonts w:ascii="Verdana" w:hAnsi="Verdana"/>
          <w:b/>
          <w:i/>
          <w:iCs/>
          <w:color w:val="757575"/>
          <w:sz w:val="18"/>
          <w:szCs w:val="18"/>
        </w:rPr>
        <w:t>6.</w:t>
      </w:r>
      <w:r>
        <w:rPr>
          <w:rFonts w:ascii="Verdana" w:hAnsi="Verdana"/>
          <w:b/>
          <w:i/>
          <w:iCs/>
          <w:color w:val="757575"/>
          <w:sz w:val="18"/>
          <w:szCs w:val="18"/>
        </w:rPr>
        <w:tab/>
        <w:t>Registered address</w:t>
      </w:r>
    </w:p>
    <w:p w14:paraId="288949C6" w14:textId="70C3433F" w:rsidR="005C4669" w:rsidRDefault="00F13BB4" w:rsidP="0092254D">
      <w:pPr>
        <w:spacing w:before="100" w:beforeAutospacing="1" w:after="100" w:afterAutospacing="1"/>
        <w:ind w:left="360" w:hanging="360"/>
        <w:contextualSpacing/>
        <w:rPr>
          <w:rFonts w:ascii="Verdana" w:hAnsi="Verdana"/>
          <w:b/>
          <w:i/>
          <w:iCs/>
          <w:color w:val="757575"/>
          <w:sz w:val="18"/>
          <w:szCs w:val="18"/>
        </w:rPr>
      </w:pPr>
      <w:r>
        <w:rPr>
          <w:rFonts w:ascii="Verdana" w:hAnsi="Verdana"/>
          <w:b/>
          <w:i/>
          <w:iCs/>
          <w:color w:val="757575"/>
          <w:sz w:val="18"/>
          <w:szCs w:val="18"/>
        </w:rPr>
        <w:t>7</w:t>
      </w:r>
      <w:r w:rsidR="005C4669" w:rsidRPr="005C4669">
        <w:rPr>
          <w:rFonts w:ascii="Verdana" w:hAnsi="Verdana"/>
          <w:b/>
          <w:i/>
          <w:iCs/>
          <w:color w:val="757575"/>
          <w:sz w:val="18"/>
          <w:szCs w:val="18"/>
        </w:rPr>
        <w:t>.</w:t>
      </w:r>
      <w:r w:rsidR="005C4669" w:rsidRPr="005C4669">
        <w:rPr>
          <w:rFonts w:ascii="Verdana" w:hAnsi="Verdana"/>
          <w:b/>
          <w:i/>
          <w:iCs/>
          <w:color w:val="757575"/>
          <w:sz w:val="18"/>
          <w:szCs w:val="18"/>
        </w:rPr>
        <w:tab/>
        <w:t>Date of birth / Date of Inc</w:t>
      </w:r>
      <w:r>
        <w:rPr>
          <w:rFonts w:ascii="Verdana" w:hAnsi="Verdana"/>
          <w:b/>
          <w:i/>
          <w:iCs/>
          <w:color w:val="757575"/>
          <w:sz w:val="18"/>
          <w:szCs w:val="18"/>
        </w:rPr>
        <w:t>orporation</w:t>
      </w:r>
    </w:p>
    <w:p w14:paraId="0DF7BE5A" w14:textId="168225AB" w:rsidR="00F13BB4" w:rsidRPr="005C4669" w:rsidRDefault="00F13BB4" w:rsidP="0092254D">
      <w:pPr>
        <w:spacing w:before="100" w:beforeAutospacing="1" w:after="100" w:afterAutospacing="1"/>
        <w:ind w:left="360" w:hanging="360"/>
        <w:contextualSpacing/>
        <w:rPr>
          <w:rFonts w:ascii="Verdana" w:hAnsi="Verdana"/>
          <w:b/>
          <w:i/>
          <w:iCs/>
          <w:color w:val="757575"/>
          <w:sz w:val="18"/>
          <w:szCs w:val="18"/>
        </w:rPr>
      </w:pPr>
      <w:r>
        <w:rPr>
          <w:rFonts w:ascii="Verdana" w:hAnsi="Verdana"/>
          <w:b/>
          <w:i/>
          <w:iCs/>
          <w:color w:val="757575"/>
          <w:sz w:val="18"/>
          <w:szCs w:val="18"/>
        </w:rPr>
        <w:t>8.</w:t>
      </w:r>
      <w:r>
        <w:rPr>
          <w:rFonts w:ascii="Verdana" w:hAnsi="Verdana"/>
          <w:b/>
          <w:i/>
          <w:iCs/>
          <w:color w:val="757575"/>
          <w:sz w:val="18"/>
          <w:szCs w:val="18"/>
        </w:rPr>
        <w:tab/>
        <w:t>Investor Type (refer to list below)</w:t>
      </w:r>
    </w:p>
    <w:p w14:paraId="288949C8" w14:textId="7554D4FB" w:rsidR="005C4669" w:rsidRDefault="00F13BB4" w:rsidP="0092254D">
      <w:pPr>
        <w:spacing w:before="100" w:beforeAutospacing="1" w:after="100" w:afterAutospacing="1"/>
        <w:ind w:left="360" w:hanging="360"/>
        <w:contextualSpacing/>
        <w:rPr>
          <w:rFonts w:ascii="Verdana" w:hAnsi="Verdana"/>
          <w:b/>
          <w:i/>
          <w:iCs/>
          <w:color w:val="757575"/>
          <w:sz w:val="18"/>
          <w:szCs w:val="18"/>
        </w:rPr>
      </w:pPr>
      <w:r>
        <w:rPr>
          <w:rFonts w:ascii="Verdana" w:hAnsi="Verdana"/>
          <w:b/>
          <w:i/>
          <w:iCs/>
          <w:color w:val="757575"/>
          <w:sz w:val="18"/>
          <w:szCs w:val="18"/>
        </w:rPr>
        <w:t>9</w:t>
      </w:r>
      <w:r w:rsidR="005C4669" w:rsidRPr="005C4669">
        <w:rPr>
          <w:rFonts w:ascii="Verdana" w:hAnsi="Verdana"/>
          <w:b/>
          <w:i/>
          <w:iCs/>
          <w:color w:val="757575"/>
          <w:sz w:val="18"/>
          <w:szCs w:val="18"/>
        </w:rPr>
        <w:t>.</w:t>
      </w:r>
      <w:r w:rsidR="005C4669" w:rsidRPr="005C4669">
        <w:rPr>
          <w:rFonts w:ascii="Verdana" w:hAnsi="Verdana"/>
          <w:b/>
          <w:i/>
          <w:iCs/>
          <w:color w:val="757575"/>
          <w:sz w:val="18"/>
          <w:szCs w:val="18"/>
        </w:rPr>
        <w:tab/>
      </w:r>
      <w:r>
        <w:rPr>
          <w:rFonts w:ascii="Verdana" w:hAnsi="Verdana"/>
          <w:b/>
          <w:i/>
          <w:iCs/>
          <w:color w:val="757575"/>
          <w:sz w:val="18"/>
          <w:szCs w:val="18"/>
        </w:rPr>
        <w:t>Will you invest in Fixed Income</w:t>
      </w:r>
    </w:p>
    <w:p w14:paraId="288949C9"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28894A33" w14:textId="7D0A96B4" w:rsidR="00B708B1" w:rsidRDefault="00F13BB4" w:rsidP="00A4461C">
      <w:pPr>
        <w:spacing w:before="100" w:beforeAutospacing="1" w:after="100" w:afterAutospacing="1"/>
        <w:ind w:left="360"/>
        <w:contextualSpacing/>
        <w:jc w:val="both"/>
        <w:rPr>
          <w:rFonts w:ascii="Verdana" w:hAnsi="Verdana"/>
          <w:color w:val="808080"/>
          <w:sz w:val="18"/>
          <w:szCs w:val="18"/>
        </w:rPr>
      </w:pPr>
      <w:r>
        <w:rPr>
          <w:noProof/>
          <w:lang w:eastAsia="en-US"/>
        </w:rPr>
        <w:drawing>
          <wp:inline distT="0" distB="0" distL="0" distR="0" wp14:anchorId="04D0DA94" wp14:editId="4A49673E">
            <wp:extent cx="5048250" cy="3905250"/>
            <wp:effectExtent l="0" t="0" r="0" b="0"/>
            <wp:docPr id="5" name="Picture 5" descr="cid:image001.png@01D892C0.01336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92C0.0133607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048250" cy="390525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85"/>
        <w:gridCol w:w="8570"/>
      </w:tblGrid>
      <w:tr w:rsidR="00CD1E04" w:rsidRPr="00DB69BC" w14:paraId="28894A3B" w14:textId="77777777" w:rsidTr="00E17E8B">
        <w:trPr>
          <w:tblCellSpacing w:w="15" w:type="dxa"/>
        </w:trPr>
        <w:tc>
          <w:tcPr>
            <w:tcW w:w="0" w:type="auto"/>
          </w:tcPr>
          <w:p w14:paraId="28894A39" w14:textId="77777777" w:rsidR="00CD1E04" w:rsidRDefault="00CD1E04" w:rsidP="00E17E8B">
            <w:pPr>
              <w:pStyle w:val="NormalWeb"/>
              <w:jc w:val="both"/>
              <w:rPr>
                <w:rFonts w:ascii="Verdana" w:hAnsi="Verdana"/>
                <w:sz w:val="18"/>
                <w:szCs w:val="18"/>
              </w:rPr>
            </w:pPr>
            <w:r>
              <w:rPr>
                <w:rFonts w:ascii="Verdana" w:hAnsi="Verdana"/>
                <w:b/>
                <w:bCs/>
                <w:sz w:val="18"/>
                <w:szCs w:val="18"/>
              </w:rPr>
              <w:t>Timing</w:t>
            </w:r>
          </w:p>
        </w:tc>
        <w:tc>
          <w:tcPr>
            <w:tcW w:w="0" w:type="auto"/>
          </w:tcPr>
          <w:p w14:paraId="28894A3A" w14:textId="19F6A067" w:rsidR="00CD1E04" w:rsidRPr="00D12E2C" w:rsidRDefault="00CD1E04" w:rsidP="005C4669">
            <w:pPr>
              <w:pStyle w:val="NormalWeb"/>
              <w:jc w:val="both"/>
              <w:rPr>
                <w:rFonts w:ascii="Verdana" w:hAnsi="Verdana"/>
                <w:color w:val="757575"/>
                <w:sz w:val="18"/>
                <w:szCs w:val="18"/>
                <w:lang w:eastAsia="en-GB"/>
              </w:rPr>
            </w:pPr>
            <w:r w:rsidRPr="00A4461C">
              <w:rPr>
                <w:rFonts w:ascii="Verdana" w:hAnsi="Verdana"/>
                <w:color w:val="757575"/>
                <w:sz w:val="18"/>
                <w:szCs w:val="18"/>
                <w:lang w:eastAsia="en-GB"/>
              </w:rPr>
              <w:t xml:space="preserve">The market timeframe for opening accounts is </w:t>
            </w:r>
            <w:r w:rsidR="005C4669">
              <w:rPr>
                <w:rFonts w:ascii="Verdana" w:hAnsi="Verdana"/>
                <w:color w:val="757575"/>
                <w:sz w:val="18"/>
                <w:szCs w:val="18"/>
                <w:lang w:eastAsia="en-GB"/>
              </w:rPr>
              <w:t>5</w:t>
            </w:r>
            <w:r w:rsidRPr="00A4461C">
              <w:rPr>
                <w:rFonts w:ascii="Verdana" w:hAnsi="Verdana"/>
                <w:color w:val="757575"/>
                <w:sz w:val="18"/>
                <w:szCs w:val="18"/>
                <w:lang w:eastAsia="en-GB"/>
              </w:rPr>
              <w:t xml:space="preserve"> business days post completion and acceptance of documents by the agent. The executed documents received from the client may be sent for further certification or legalization affecting the turnaround time for market application. The documents may also be subject to regulatory and KYC checks and additional documents may be requested by the agent/market </w:t>
            </w:r>
            <w:r w:rsidR="0092254D" w:rsidRPr="00A4461C">
              <w:rPr>
                <w:rFonts w:ascii="Verdana" w:hAnsi="Verdana"/>
                <w:color w:val="757575"/>
                <w:sz w:val="18"/>
                <w:szCs w:val="18"/>
                <w:lang w:eastAsia="en-GB"/>
              </w:rPr>
              <w:t>authorities, which</w:t>
            </w:r>
            <w:r w:rsidRPr="00A4461C">
              <w:rPr>
                <w:rFonts w:ascii="Verdana" w:hAnsi="Verdana"/>
                <w:color w:val="757575"/>
                <w:sz w:val="18"/>
                <w:szCs w:val="18"/>
                <w:lang w:eastAsia="en-GB"/>
              </w:rPr>
              <w:t xml:space="preserve"> could potentially extend the normal processing time.</w:t>
            </w:r>
          </w:p>
        </w:tc>
      </w:tr>
      <w:tr w:rsidR="00CD1E04" w14:paraId="28894A3E" w14:textId="77777777" w:rsidTr="00E17E8B">
        <w:trPr>
          <w:tblCellSpacing w:w="15" w:type="dxa"/>
        </w:trPr>
        <w:tc>
          <w:tcPr>
            <w:tcW w:w="0" w:type="auto"/>
          </w:tcPr>
          <w:p w14:paraId="28894A3C" w14:textId="77777777" w:rsidR="00CD1E04" w:rsidRDefault="00CD1E04" w:rsidP="00E17E8B">
            <w:pPr>
              <w:pStyle w:val="NormalWeb"/>
              <w:jc w:val="both"/>
              <w:rPr>
                <w:rFonts w:ascii="Verdana" w:hAnsi="Verdana"/>
                <w:sz w:val="18"/>
                <w:szCs w:val="18"/>
              </w:rPr>
            </w:pPr>
            <w:r>
              <w:rPr>
                <w:rFonts w:ascii="Verdana" w:hAnsi="Verdana"/>
                <w:b/>
                <w:bCs/>
                <w:sz w:val="18"/>
                <w:szCs w:val="18"/>
              </w:rPr>
              <w:t>Sub-custodian</w:t>
            </w:r>
          </w:p>
        </w:tc>
        <w:tc>
          <w:tcPr>
            <w:tcW w:w="0" w:type="auto"/>
          </w:tcPr>
          <w:p w14:paraId="28894A3D" w14:textId="7DF813D3" w:rsidR="00CD1E04" w:rsidRPr="00D12E2C" w:rsidRDefault="0053547A" w:rsidP="005C4669">
            <w:pPr>
              <w:pStyle w:val="NormalWeb"/>
              <w:jc w:val="both"/>
              <w:rPr>
                <w:rFonts w:ascii="Verdana" w:hAnsi="Verdana"/>
                <w:color w:val="757575"/>
                <w:sz w:val="18"/>
                <w:szCs w:val="18"/>
                <w:lang w:eastAsia="en-GB"/>
              </w:rPr>
            </w:pPr>
            <w:r>
              <w:rPr>
                <w:rFonts w:ascii="Verdana" w:hAnsi="Verdana"/>
                <w:color w:val="757575"/>
                <w:sz w:val="18"/>
                <w:szCs w:val="18"/>
                <w:lang w:eastAsia="en-GB"/>
              </w:rPr>
              <w:t>RBC I</w:t>
            </w:r>
            <w:r w:rsidR="00CD1E04">
              <w:rPr>
                <w:rFonts w:ascii="Verdana" w:hAnsi="Verdana"/>
                <w:color w:val="757575"/>
                <w:sz w:val="18"/>
                <w:szCs w:val="18"/>
                <w:lang w:eastAsia="en-GB"/>
              </w:rPr>
              <w:t>S</w:t>
            </w:r>
            <w:r w:rsidR="00CD1E04" w:rsidRPr="00D12E2C">
              <w:rPr>
                <w:rFonts w:ascii="Verdana" w:hAnsi="Verdana"/>
                <w:color w:val="757575"/>
                <w:sz w:val="18"/>
                <w:szCs w:val="18"/>
                <w:lang w:eastAsia="en-GB"/>
              </w:rPr>
              <w:t xml:space="preserve"> has appointed </w:t>
            </w:r>
            <w:r w:rsidR="005C4669" w:rsidRPr="005C4669">
              <w:rPr>
                <w:rFonts w:ascii="Verdana" w:hAnsi="Verdana"/>
                <w:color w:val="757575"/>
                <w:sz w:val="18"/>
                <w:szCs w:val="18"/>
                <w:lang w:eastAsia="en-GB"/>
              </w:rPr>
              <w:t xml:space="preserve">SCB, Kuala Lumpur </w:t>
            </w:r>
            <w:r w:rsidR="00CD1E04" w:rsidRPr="00D12E2C">
              <w:rPr>
                <w:rFonts w:ascii="Verdana" w:hAnsi="Verdana"/>
                <w:color w:val="757575"/>
                <w:sz w:val="18"/>
                <w:szCs w:val="18"/>
                <w:lang w:eastAsia="en-GB"/>
              </w:rPr>
              <w:t>as Sub-custodian. Their role is to open and manage the securities account.</w:t>
            </w:r>
          </w:p>
        </w:tc>
      </w:tr>
      <w:tr w:rsidR="00CD1E04" w:rsidRPr="00DB69BC" w14:paraId="28894A41" w14:textId="77777777" w:rsidTr="00E17E8B">
        <w:trPr>
          <w:tblCellSpacing w:w="15" w:type="dxa"/>
        </w:trPr>
        <w:tc>
          <w:tcPr>
            <w:tcW w:w="0" w:type="auto"/>
          </w:tcPr>
          <w:p w14:paraId="28894A3F" w14:textId="77777777" w:rsidR="00CD1E04" w:rsidRDefault="00CD1E04" w:rsidP="00E17E8B">
            <w:pPr>
              <w:pStyle w:val="NormalWeb"/>
              <w:jc w:val="both"/>
              <w:rPr>
                <w:rFonts w:ascii="Verdana" w:hAnsi="Verdana"/>
                <w:sz w:val="18"/>
                <w:szCs w:val="18"/>
              </w:rPr>
            </w:pPr>
            <w:r>
              <w:rPr>
                <w:rFonts w:ascii="Verdana" w:hAnsi="Verdana"/>
                <w:b/>
                <w:bCs/>
                <w:sz w:val="18"/>
                <w:szCs w:val="18"/>
              </w:rPr>
              <w:t xml:space="preserve">Further Details </w:t>
            </w:r>
          </w:p>
        </w:tc>
        <w:tc>
          <w:tcPr>
            <w:tcW w:w="0" w:type="auto"/>
          </w:tcPr>
          <w:p w14:paraId="28894A40" w14:textId="77777777" w:rsidR="00CD1E04" w:rsidRPr="00D12E2C" w:rsidRDefault="00CD1E04" w:rsidP="00E17E8B">
            <w:pPr>
              <w:pStyle w:val="NormalWeb"/>
              <w:jc w:val="both"/>
              <w:rPr>
                <w:rFonts w:ascii="Verdana" w:hAnsi="Verdana"/>
                <w:color w:val="757575"/>
                <w:sz w:val="18"/>
                <w:szCs w:val="18"/>
                <w:lang w:eastAsia="en-GB"/>
              </w:rPr>
            </w:pPr>
            <w:r w:rsidRPr="00D12E2C">
              <w:rPr>
                <w:rFonts w:ascii="Verdana" w:hAnsi="Verdana"/>
                <w:color w:val="757575"/>
                <w:sz w:val="18"/>
                <w:szCs w:val="18"/>
                <w:lang w:eastAsia="en-GB"/>
              </w:rPr>
              <w:t>None</w:t>
            </w:r>
          </w:p>
        </w:tc>
      </w:tr>
    </w:tbl>
    <w:p w14:paraId="28894A42" w14:textId="77777777" w:rsidR="00CD1E04" w:rsidRDefault="00CD1E04">
      <w:pPr>
        <w:adjustRightInd/>
        <w:spacing w:before="0" w:after="200" w:line="276" w:lineRule="auto"/>
        <w:rPr>
          <w:rFonts w:ascii="Verdana" w:hAnsi="Verdana"/>
          <w:color w:val="808080"/>
          <w:sz w:val="18"/>
          <w:szCs w:val="18"/>
        </w:rPr>
      </w:pPr>
      <w:r>
        <w:rPr>
          <w:rFonts w:ascii="Verdana" w:hAnsi="Verdana"/>
          <w:color w:val="808080"/>
          <w:sz w:val="18"/>
          <w:szCs w:val="18"/>
        </w:rPr>
        <w:br w:type="page"/>
      </w:r>
    </w:p>
    <w:p w14:paraId="28894A43" w14:textId="77777777" w:rsidR="00B708B1" w:rsidRDefault="00B708B1" w:rsidP="00A4461C">
      <w:pPr>
        <w:spacing w:before="100" w:beforeAutospacing="1" w:after="100" w:afterAutospacing="1"/>
        <w:ind w:left="360"/>
        <w:contextualSpacing/>
        <w:jc w:val="both"/>
        <w:rPr>
          <w:rFonts w:ascii="Verdana" w:hAnsi="Verdana"/>
          <w:color w:val="808080"/>
          <w:sz w:val="18"/>
          <w:szCs w:val="18"/>
        </w:rPr>
      </w:pPr>
    </w:p>
    <w:p w14:paraId="28894A44" w14:textId="77777777" w:rsidR="00A4461C" w:rsidRPr="00A67CB1" w:rsidRDefault="00A4461C" w:rsidP="00F36616">
      <w:pPr>
        <w:pStyle w:val="Heading3"/>
        <w:tabs>
          <w:tab w:val="center" w:pos="4877"/>
        </w:tabs>
        <w:rPr>
          <w:sz w:val="25"/>
          <w:szCs w:val="25"/>
        </w:rPr>
      </w:pPr>
      <w:r w:rsidRPr="00A67CB1">
        <w:rPr>
          <w:sz w:val="25"/>
          <w:szCs w:val="25"/>
        </w:rPr>
        <w:t xml:space="preserve">Name change </w:t>
      </w:r>
    </w:p>
    <w:p w14:paraId="28894A45" w14:textId="77777777" w:rsidR="00A4461C" w:rsidRDefault="00A4461C" w:rsidP="00F36616">
      <w:pPr>
        <w:tabs>
          <w:tab w:val="left" w:pos="2070"/>
        </w:tabs>
        <w:rPr>
          <w:rFonts w:ascii="Verdana" w:hAnsi="Verdana"/>
          <w:b/>
          <w:bCs/>
          <w:color w:val="757575"/>
          <w:sz w:val="18"/>
          <w:szCs w:val="18"/>
          <w:lang w:eastAsia="en-GB"/>
        </w:rPr>
      </w:pPr>
      <w:r w:rsidRPr="00C457C6">
        <w:rPr>
          <w:rFonts w:ascii="Verdana" w:hAnsi="Verdana"/>
          <w:b/>
          <w:sz w:val="18"/>
          <w:szCs w:val="18"/>
        </w:rPr>
        <w:t xml:space="preserve">Documentation </w:t>
      </w:r>
      <w:r>
        <w:rPr>
          <w:rFonts w:ascii="Verdana" w:hAnsi="Verdana"/>
          <w:b/>
          <w:sz w:val="18"/>
          <w:szCs w:val="18"/>
        </w:rPr>
        <w:t>Required</w:t>
      </w:r>
      <w:r w:rsidR="00F36616">
        <w:rPr>
          <w:rFonts w:ascii="Verdana" w:hAnsi="Verdana"/>
          <w:b/>
          <w:sz w:val="18"/>
          <w:szCs w:val="18"/>
        </w:rPr>
        <w:t xml:space="preserve"> </w:t>
      </w:r>
      <w:r>
        <w:rPr>
          <w:rFonts w:ascii="Verdana" w:hAnsi="Verdana"/>
          <w:b/>
          <w:sz w:val="18"/>
          <w:szCs w:val="18"/>
        </w:rPr>
        <w:t>by the Agent</w:t>
      </w:r>
    </w:p>
    <w:p w14:paraId="28894A46" w14:textId="77777777" w:rsidR="00B708B1" w:rsidRPr="00B708B1" w:rsidRDefault="00BA4B62" w:rsidP="00B708B1">
      <w:pPr>
        <w:pStyle w:val="ListParagraph"/>
        <w:numPr>
          <w:ilvl w:val="0"/>
          <w:numId w:val="35"/>
        </w:numPr>
        <w:spacing w:before="100" w:beforeAutospacing="1" w:after="100" w:afterAutospacing="1"/>
        <w:contextualSpacing/>
        <w:rPr>
          <w:rFonts w:ascii="Verdana" w:hAnsi="Verdana"/>
          <w:b/>
          <w:i/>
          <w:iCs/>
          <w:color w:val="757575"/>
          <w:sz w:val="18"/>
          <w:szCs w:val="18"/>
        </w:rPr>
      </w:pPr>
      <w:r>
        <w:rPr>
          <w:rFonts w:ascii="Verdana" w:hAnsi="Verdana"/>
          <w:b/>
          <w:color w:val="757575"/>
          <w:sz w:val="18"/>
          <w:szCs w:val="18"/>
        </w:rPr>
        <w:t>Official document showing the change of name</w:t>
      </w:r>
      <w:r w:rsidR="00B708B1">
        <w:rPr>
          <w:rFonts w:ascii="Verdana" w:hAnsi="Verdana"/>
          <w:b/>
          <w:color w:val="757575"/>
          <w:sz w:val="18"/>
          <w:szCs w:val="18"/>
        </w:rPr>
        <w:t xml:space="preserve"> </w:t>
      </w:r>
      <w:r w:rsidR="00B708B1" w:rsidRPr="0000002F">
        <w:rPr>
          <w:rFonts w:ascii="Verdana" w:hAnsi="Verdana"/>
          <w:b/>
          <w:color w:val="757575"/>
          <w:sz w:val="18"/>
          <w:szCs w:val="18"/>
        </w:rPr>
        <w:t xml:space="preserve">– </w:t>
      </w:r>
      <w:r>
        <w:rPr>
          <w:rFonts w:ascii="Verdana" w:hAnsi="Verdana"/>
          <w:i/>
          <w:iCs/>
          <w:color w:val="757575"/>
          <w:sz w:val="18"/>
          <w:szCs w:val="18"/>
        </w:rPr>
        <w:t>to be certified true copy by the Global Custodian</w:t>
      </w:r>
    </w:p>
    <w:p w14:paraId="28894A47" w14:textId="77777777" w:rsidR="00CD1E04" w:rsidRDefault="00CD1E04">
      <w:pPr>
        <w:adjustRightInd/>
        <w:spacing w:before="0" w:after="200" w:line="276" w:lineRule="auto"/>
        <w:rPr>
          <w:color w:val="0060A9"/>
          <w:sz w:val="25"/>
          <w:szCs w:val="25"/>
        </w:rPr>
      </w:pPr>
      <w:r>
        <w:rPr>
          <w:sz w:val="25"/>
          <w:szCs w:val="25"/>
        </w:rPr>
        <w:br w:type="page"/>
      </w:r>
    </w:p>
    <w:p w14:paraId="28894A48" w14:textId="77777777" w:rsidR="00CD1E04" w:rsidRDefault="00CD1E04" w:rsidP="00F36616">
      <w:pPr>
        <w:pStyle w:val="Heading3"/>
        <w:tabs>
          <w:tab w:val="center" w:pos="4877"/>
        </w:tabs>
        <w:rPr>
          <w:sz w:val="25"/>
          <w:szCs w:val="25"/>
        </w:rPr>
      </w:pPr>
    </w:p>
    <w:p w14:paraId="28894A49" w14:textId="77777777" w:rsidR="00A4461C" w:rsidRPr="00F36616" w:rsidRDefault="00A4461C" w:rsidP="00F36616">
      <w:pPr>
        <w:pStyle w:val="Heading3"/>
        <w:tabs>
          <w:tab w:val="center" w:pos="4877"/>
        </w:tabs>
        <w:rPr>
          <w:sz w:val="25"/>
          <w:szCs w:val="25"/>
        </w:rPr>
      </w:pPr>
      <w:r w:rsidRPr="00F36616">
        <w:rPr>
          <w:sz w:val="25"/>
          <w:szCs w:val="25"/>
        </w:rPr>
        <w:t>Account Closure</w:t>
      </w:r>
    </w:p>
    <w:p w14:paraId="28894A4A" w14:textId="6B635D04" w:rsidR="00A20C53" w:rsidRDefault="00F36616" w:rsidP="00F36616">
      <w:pPr>
        <w:jc w:val="both"/>
        <w:rPr>
          <w:rFonts w:ascii="Verdana" w:hAnsi="Verdana"/>
          <w:color w:val="757575"/>
          <w:sz w:val="18"/>
          <w:szCs w:val="18"/>
          <w:lang w:eastAsia="en-GB"/>
        </w:rPr>
      </w:pPr>
      <w:r>
        <w:rPr>
          <w:rFonts w:ascii="Verdana" w:hAnsi="Verdana"/>
          <w:color w:val="757575"/>
          <w:sz w:val="18"/>
          <w:szCs w:val="18"/>
          <w:lang w:eastAsia="en-GB"/>
        </w:rPr>
        <w:t>No d</w:t>
      </w:r>
      <w:r w:rsidR="00A4461C">
        <w:rPr>
          <w:rFonts w:ascii="Verdana" w:hAnsi="Verdana"/>
          <w:color w:val="757575"/>
          <w:sz w:val="18"/>
          <w:szCs w:val="18"/>
          <w:lang w:eastAsia="en-GB"/>
        </w:rPr>
        <w:t>ocumentation required</w:t>
      </w:r>
      <w:r w:rsidR="00A20C53">
        <w:rPr>
          <w:rFonts w:ascii="Verdana" w:hAnsi="Verdana"/>
          <w:color w:val="757575"/>
          <w:sz w:val="18"/>
          <w:szCs w:val="18"/>
          <w:lang w:eastAsia="en-GB"/>
        </w:rPr>
        <w:t xml:space="preserve"> </w:t>
      </w:r>
      <w:r w:rsidR="0092254D">
        <w:rPr>
          <w:rFonts w:ascii="Verdana" w:hAnsi="Verdana"/>
          <w:color w:val="757575"/>
          <w:sz w:val="18"/>
          <w:szCs w:val="18"/>
          <w:lang w:eastAsia="en-GB"/>
        </w:rPr>
        <w:t>however,</w:t>
      </w:r>
      <w:r w:rsidR="00A20C53">
        <w:rPr>
          <w:rFonts w:ascii="Verdana" w:hAnsi="Verdana"/>
          <w:color w:val="757575"/>
          <w:sz w:val="18"/>
          <w:szCs w:val="18"/>
          <w:lang w:eastAsia="en-GB"/>
        </w:rPr>
        <w:t xml:space="preserve"> client should always ensure t</w:t>
      </w:r>
      <w:r w:rsidR="00A20C53" w:rsidRPr="00042F42">
        <w:rPr>
          <w:rFonts w:ascii="Verdana" w:hAnsi="Verdana"/>
          <w:color w:val="757575"/>
          <w:sz w:val="18"/>
          <w:szCs w:val="18"/>
          <w:lang w:eastAsia="en-GB"/>
        </w:rPr>
        <w:t xml:space="preserve">here </w:t>
      </w:r>
      <w:r w:rsidR="00A20C53">
        <w:rPr>
          <w:rFonts w:ascii="Verdana" w:hAnsi="Verdana"/>
          <w:color w:val="757575"/>
          <w:sz w:val="18"/>
          <w:szCs w:val="18"/>
          <w:lang w:eastAsia="en-GB"/>
        </w:rPr>
        <w:t xml:space="preserve">are </w:t>
      </w:r>
      <w:r w:rsidR="00A20C53" w:rsidRPr="00042F42">
        <w:rPr>
          <w:rFonts w:ascii="Verdana" w:hAnsi="Verdana"/>
          <w:color w:val="757575"/>
          <w:sz w:val="18"/>
          <w:szCs w:val="18"/>
          <w:lang w:eastAsia="en-GB"/>
        </w:rPr>
        <w:t>no outstanding trades, corporate actions, fees and holdings</w:t>
      </w:r>
      <w:r w:rsidR="00A20C53">
        <w:rPr>
          <w:rFonts w:ascii="Verdana" w:hAnsi="Verdana"/>
          <w:color w:val="757575"/>
          <w:sz w:val="18"/>
          <w:szCs w:val="18"/>
          <w:lang w:eastAsia="en-GB"/>
        </w:rPr>
        <w:t xml:space="preserve"> prior to sending the closure instruction.</w:t>
      </w:r>
    </w:p>
    <w:p w14:paraId="28894A4B" w14:textId="77777777" w:rsidR="00BC5C42" w:rsidRDefault="00BC5C42" w:rsidP="00A4461C">
      <w:pPr>
        <w:rPr>
          <w:rFonts w:ascii="Verdana" w:hAnsi="Verdana"/>
          <w:color w:val="757575"/>
          <w:sz w:val="18"/>
          <w:szCs w:val="18"/>
          <w:lang w:eastAsia="en-GB"/>
        </w:rPr>
      </w:pPr>
    </w:p>
    <w:p w14:paraId="28894A4C" w14:textId="77777777" w:rsidR="00BC5C42" w:rsidRDefault="00BC5C42" w:rsidP="00A4461C">
      <w:pPr>
        <w:rPr>
          <w:rFonts w:ascii="Verdana" w:hAnsi="Verdana"/>
          <w:color w:val="757575"/>
          <w:sz w:val="18"/>
          <w:szCs w:val="18"/>
          <w:lang w:eastAsia="en-GB"/>
        </w:rPr>
      </w:pPr>
    </w:p>
    <w:bookmarkEnd w:id="6"/>
    <w:bookmarkEnd w:id="7"/>
    <w:p w14:paraId="28894A4D" w14:textId="77777777" w:rsidR="00B924A2" w:rsidRDefault="00B924A2" w:rsidP="00B924A2">
      <w:pPr>
        <w:pStyle w:val="BodyText"/>
        <w:rPr>
          <w:lang w:eastAsia="en-US"/>
        </w:rPr>
      </w:pPr>
    </w:p>
    <w:p w14:paraId="28894A4E" w14:textId="77777777" w:rsidR="00B924A2" w:rsidRPr="00B924A2" w:rsidRDefault="00B924A2" w:rsidP="00B924A2">
      <w:pPr>
        <w:pStyle w:val="BodyText"/>
        <w:rPr>
          <w:lang w:eastAsia="en-US"/>
        </w:rPr>
      </w:pPr>
    </w:p>
    <w:p w14:paraId="28894A4F" w14:textId="77777777" w:rsidR="00B924A2" w:rsidRPr="00B924A2" w:rsidRDefault="00B924A2" w:rsidP="00B924A2">
      <w:pPr>
        <w:pStyle w:val="BodyText"/>
        <w:rPr>
          <w:lang w:eastAsia="en-US"/>
        </w:rPr>
      </w:pPr>
    </w:p>
    <w:bookmarkEnd w:id="2"/>
    <w:bookmarkEnd w:id="3"/>
    <w:p w14:paraId="28894A50" w14:textId="77777777" w:rsidR="00432B3C" w:rsidRPr="003C744E" w:rsidRDefault="00432B3C" w:rsidP="00432B3C">
      <w:pPr>
        <w:pStyle w:val="ListNumber"/>
        <w:sectPr w:rsidR="00432B3C" w:rsidRPr="003C744E" w:rsidSect="00DD570C">
          <w:footerReference w:type="default" r:id="rId12"/>
          <w:headerReference w:type="first" r:id="rId13"/>
          <w:footerReference w:type="first" r:id="rId14"/>
          <w:pgSz w:w="11909" w:h="16834" w:code="9"/>
          <w:pgMar w:top="1077" w:right="1077" w:bottom="1077" w:left="1077" w:header="1080" w:footer="432" w:gutter="0"/>
          <w:pgNumType w:start="1"/>
          <w:cols w:space="720"/>
          <w:titlePg/>
          <w:docGrid w:linePitch="360"/>
        </w:sectPr>
      </w:pPr>
    </w:p>
    <w:p w14:paraId="28894A51" w14:textId="77777777" w:rsidR="00432B3C" w:rsidRPr="00DD570C" w:rsidRDefault="00432B3C" w:rsidP="00432B3C">
      <w:pPr>
        <w:pStyle w:val="TitleDisclaimer"/>
      </w:pPr>
      <w:r w:rsidRPr="00DD570C">
        <w:lastRenderedPageBreak/>
        <w:t>Disclaimer</w:t>
      </w:r>
    </w:p>
    <w:p w14:paraId="28894A53" w14:textId="4AB64D65" w:rsidR="00A67A57" w:rsidRDefault="0053547A">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licence.</w:t>
      </w:r>
    </w:p>
    <w:sectPr w:rsidR="00A67A57" w:rsidSect="00DD570C">
      <w:headerReference w:type="even" r:id="rId15"/>
      <w:headerReference w:type="first" r:id="rId16"/>
      <w:footerReference w:type="first" r:id="rId17"/>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94A58" w14:textId="77777777" w:rsidR="0000002F" w:rsidRDefault="0000002F" w:rsidP="00432B3C">
      <w:pPr>
        <w:spacing w:before="0" w:after="0" w:line="240" w:lineRule="auto"/>
      </w:pPr>
      <w:r>
        <w:separator/>
      </w:r>
    </w:p>
  </w:endnote>
  <w:endnote w:type="continuationSeparator" w:id="0">
    <w:p w14:paraId="28894A59" w14:textId="77777777" w:rsidR="0000002F" w:rsidRDefault="0000002F"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swiss"/>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4A5A" w14:textId="77777777" w:rsidR="005F0563" w:rsidRPr="000720EB" w:rsidRDefault="00EA4A1F" w:rsidP="00B0308B">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0350F2">
      <w:rPr>
        <w:rStyle w:val="PageNumber"/>
        <w:b/>
        <w:caps w:val="0"/>
      </w:rPr>
      <w:t>4</w:t>
    </w:r>
    <w:r w:rsidRPr="009B18F0">
      <w:rPr>
        <w:rStyle w:val="PageNumber"/>
        <w:b/>
        <w:caps w:val="0"/>
      </w:rPr>
      <w:fldChar w:fldCharType="end"/>
    </w:r>
    <w:r>
      <w:t xml:space="preserve">  |  </w:t>
    </w:r>
    <w:r w:rsidR="000350F2">
      <w:fldChar w:fldCharType="begin"/>
    </w:r>
    <w:r w:rsidR="000350F2">
      <w:instrText xml:space="preserve"> STYLEREF  "Heading 1 + Sub-Heading"  \* MERGEFORMAT </w:instrText>
    </w:r>
    <w:r w:rsidR="000350F2">
      <w:fldChar w:fldCharType="separate"/>
    </w:r>
    <w:r w:rsidR="000350F2">
      <w:t>FII Market Entry Requirements for Malaysia</w:t>
    </w:r>
    <w:r w:rsidR="000350F2">
      <w:fldChar w:fldCharType="end"/>
    </w:r>
    <w:r>
      <w:rPr>
        <w:snapToGrid/>
        <w:lang w:eastAsia="en-US"/>
      </w:rPr>
      <mc:AlternateContent>
        <mc:Choice Requires="wps">
          <w:drawing>
            <wp:anchor distT="0" distB="0" distL="114300" distR="114300" simplePos="0" relativeHeight="251660288" behindDoc="0" locked="0" layoutInCell="1" allowOverlap="1" wp14:anchorId="28894A60" wp14:editId="28894A61">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0720EB" w14:paraId="28894A67" w14:textId="77777777">
                            <w:trPr>
                              <w:trHeight w:hRule="exact" w:val="547"/>
                            </w:trPr>
                            <w:tc>
                              <w:tcPr>
                                <w:tcW w:w="3096" w:type="dxa"/>
                              </w:tcPr>
                              <w:p w14:paraId="28894A66" w14:textId="77777777" w:rsidR="000720EB" w:rsidRDefault="00EA4A1F" w:rsidP="00F25609">
                                <w:pPr>
                                  <w:pStyle w:val="Draft"/>
                                </w:pPr>
                                <w:r>
                                  <w:t>Draft</w:t>
                                </w:r>
                              </w:p>
                            </w:tc>
                          </w:tr>
                        </w:tbl>
                        <w:p w14:paraId="28894A68" w14:textId="77777777" w:rsidR="000720EB" w:rsidRDefault="000350F2" w:rsidP="000720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4A60"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" filled="f" stroked="f">
              <v:textbox inset="0,0,0,0">
                <w:txbxContent>
                  <w:tbl>
                    <w:tblPr>
                      <w:tblW w:w="0" w:type="auto"/>
                      <w:tblLayout w:type="fixed"/>
                      <w:tblLook w:val="01E0" w:firstRow="1" w:lastRow="1" w:firstColumn="1" w:lastColumn="1" w:noHBand="0" w:noVBand="0"/>
                    </w:tblPr>
                    <w:tblGrid>
                      <w:gridCol w:w="3096"/>
                    </w:tblGrid>
                    <w:tr w:rsidR="000720EB" w14:paraId="28894A67" w14:textId="77777777">
                      <w:trPr>
                        <w:trHeight w:hRule="exact" w:val="547"/>
                      </w:trPr>
                      <w:tc>
                        <w:tcPr>
                          <w:tcW w:w="3096" w:type="dxa"/>
                        </w:tcPr>
                        <w:p w14:paraId="28894A66" w14:textId="77777777" w:rsidR="000720EB" w:rsidRDefault="00EA4A1F" w:rsidP="00F25609">
                          <w:pPr>
                            <w:pStyle w:val="Draft"/>
                          </w:pPr>
                          <w:r>
                            <w:t>Draft</w:t>
                          </w:r>
                        </w:p>
                      </w:tc>
                    </w:tr>
                  </w:tbl>
                  <w:p w14:paraId="28894A68" w14:textId="77777777" w:rsidR="000720EB" w:rsidRDefault="00F13BB4" w:rsidP="000720E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4A5C" w14:textId="77777777" w:rsidR="000839ED" w:rsidRPr="00B0308B" w:rsidRDefault="00EA4A1F" w:rsidP="00B0308B">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0350F2">
      <w:rPr>
        <w:rStyle w:val="PageNumber"/>
        <w:b/>
      </w:rPr>
      <w:t>1</w:t>
    </w:r>
    <w:r w:rsidRPr="00DD570C">
      <w:rPr>
        <w:rStyle w:val="PageNumber"/>
        <w:b/>
      </w:rPr>
      <w:fldChar w:fldCharType="end"/>
    </w:r>
    <w:r w:rsidRPr="00B0308B">
      <w:t xml:space="preserve">  |  </w:t>
    </w:r>
    <w:r w:rsidR="000350F2">
      <w:fldChar w:fldCharType="begin"/>
    </w:r>
    <w:r w:rsidR="000350F2">
      <w:instrText xml:space="preserve"> STYLEREF  "Heading 1 + Sub-Heading"  \* MERGEFORMAT </w:instrText>
    </w:r>
    <w:r w:rsidR="000350F2">
      <w:fldChar w:fldCharType="separate"/>
    </w:r>
    <w:r w:rsidR="000350F2">
      <w:t>FII Market Entry Requirements for Malaysia</w:t>
    </w:r>
    <w:r w:rsidR="000350F2">
      <w:fldChar w:fldCharType="end"/>
    </w:r>
    <w:r>
      <w:rPr>
        <w:snapToGrid/>
        <w:lang w:eastAsia="en-US"/>
      </w:rPr>
      <mc:AlternateContent>
        <mc:Choice Requires="wps">
          <w:drawing>
            <wp:anchor distT="0" distB="0" distL="114300" distR="114300" simplePos="0" relativeHeight="251659264" behindDoc="0" locked="0" layoutInCell="1" allowOverlap="1" wp14:anchorId="28894A64" wp14:editId="28894A65">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9C5B88" w14:paraId="28894A6A" w14:textId="77777777">
                            <w:trPr>
                              <w:trHeight w:hRule="exact" w:val="547"/>
                            </w:trPr>
                            <w:tc>
                              <w:tcPr>
                                <w:tcW w:w="3096" w:type="dxa"/>
                              </w:tcPr>
                              <w:p w14:paraId="28894A69" w14:textId="77777777" w:rsidR="009C5B88" w:rsidRDefault="00EA4A1F" w:rsidP="00F25609">
                                <w:pPr>
                                  <w:pStyle w:val="Draft"/>
                                </w:pPr>
                                <w:r>
                                  <w:t>Draft</w:t>
                                </w:r>
                              </w:p>
                            </w:tc>
                          </w:tr>
                        </w:tbl>
                        <w:p w14:paraId="28894A6B" w14:textId="77777777" w:rsidR="009C5B88" w:rsidRDefault="000350F2" w:rsidP="009C5B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4A64"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" filled="f" stroked="f">
              <v:textbox inset="0,0,0,0">
                <w:txbxContent>
                  <w:tbl>
                    <w:tblPr>
                      <w:tblW w:w="0" w:type="auto"/>
                      <w:tblLayout w:type="fixed"/>
                      <w:tblLook w:val="01E0" w:firstRow="1" w:lastRow="1" w:firstColumn="1" w:lastColumn="1" w:noHBand="0" w:noVBand="0"/>
                    </w:tblPr>
                    <w:tblGrid>
                      <w:gridCol w:w="3096"/>
                    </w:tblGrid>
                    <w:tr w:rsidR="009C5B88" w14:paraId="28894A6A" w14:textId="77777777">
                      <w:trPr>
                        <w:trHeight w:hRule="exact" w:val="547"/>
                      </w:trPr>
                      <w:tc>
                        <w:tcPr>
                          <w:tcW w:w="3096" w:type="dxa"/>
                        </w:tcPr>
                        <w:p w14:paraId="28894A69" w14:textId="77777777" w:rsidR="009C5B88" w:rsidRDefault="00EA4A1F" w:rsidP="00F25609">
                          <w:pPr>
                            <w:pStyle w:val="Draft"/>
                          </w:pPr>
                          <w:r>
                            <w:t>Draft</w:t>
                          </w:r>
                        </w:p>
                      </w:tc>
                    </w:tr>
                  </w:tbl>
                  <w:p w14:paraId="28894A6B" w14:textId="77777777" w:rsidR="009C5B88" w:rsidRDefault="00F13BB4" w:rsidP="009C5B88"/>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4A5F" w14:textId="4515C138" w:rsidR="00745241" w:rsidRPr="00B0308B" w:rsidRDefault="0053547A" w:rsidP="00B0308B">
    <w:pPr>
      <w:pStyle w:val="FooterBackcover"/>
    </w:pPr>
    <w:r>
      <w:t>rbci</w:t>
    </w:r>
    <w:r w:rsidR="00EA4A1F">
      <w: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94A56" w14:textId="77777777" w:rsidR="0000002F" w:rsidRDefault="0000002F" w:rsidP="00432B3C">
      <w:pPr>
        <w:spacing w:before="0" w:after="0" w:line="240" w:lineRule="auto"/>
      </w:pPr>
      <w:r>
        <w:separator/>
      </w:r>
    </w:p>
  </w:footnote>
  <w:footnote w:type="continuationSeparator" w:id="0">
    <w:p w14:paraId="28894A57" w14:textId="77777777" w:rsidR="0000002F" w:rsidRDefault="0000002F" w:rsidP="00432B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4A5B" w14:textId="7FDD708C" w:rsidR="007D7938" w:rsidRPr="00D24DF2" w:rsidRDefault="0053547A" w:rsidP="00AE6A20">
    <w:pPr>
      <w:spacing w:before="0" w:after="1080"/>
    </w:pPr>
    <w:r>
      <w:rPr>
        <w:noProof/>
        <w:lang w:eastAsia="en-US"/>
      </w:rPr>
      <w:drawing>
        <wp:inline distT="0" distB="0" distL="0" distR="0" wp14:anchorId="6D33B83F" wp14:editId="74303FCC">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4A5D" w14:textId="77777777" w:rsidR="00745241" w:rsidRDefault="000350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4A5E" w14:textId="77777777" w:rsidR="00745241" w:rsidRPr="00D24DF2" w:rsidRDefault="000350F2" w:rsidP="004949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08223662"/>
    <w:multiLevelType w:val="hybridMultilevel"/>
    <w:tmpl w:val="8E70F644"/>
    <w:lvl w:ilvl="0" w:tplc="26E68820">
      <w:start w:val="1"/>
      <w:numFmt w:val="lowerLetter"/>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8"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BD1D59"/>
    <w:multiLevelType w:val="hybridMultilevel"/>
    <w:tmpl w:val="6CF46BE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3"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5D2F53"/>
    <w:multiLevelType w:val="hybridMultilevel"/>
    <w:tmpl w:val="D708011C"/>
    <w:lvl w:ilvl="0" w:tplc="0478DBA2">
      <w:start w:val="1"/>
      <w:numFmt w:val="lowerLetter"/>
      <w:lvlText w:val="%1)"/>
      <w:lvlJc w:val="left"/>
      <w:pPr>
        <w:ind w:left="1080" w:hanging="360"/>
      </w:pPr>
      <w:rPr>
        <w:rFonts w:hint="default"/>
        <w:b/>
        <w:i w:val="0"/>
        <w:iCs w:val="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787FCA"/>
    <w:multiLevelType w:val="hybridMultilevel"/>
    <w:tmpl w:val="F326C09C"/>
    <w:lvl w:ilvl="0" w:tplc="3A6A735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041BF"/>
    <w:multiLevelType w:val="hybridMultilevel"/>
    <w:tmpl w:val="FEBAF34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FFE7B28"/>
    <w:multiLevelType w:val="multilevel"/>
    <w:tmpl w:val="0F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5"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28" w15:restartNumberingAfterBreak="0">
    <w:nsid w:val="66384DD0"/>
    <w:multiLevelType w:val="hybridMultilevel"/>
    <w:tmpl w:val="B46C48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4217CB"/>
    <w:multiLevelType w:val="hybridMultilevel"/>
    <w:tmpl w:val="84449F68"/>
    <w:lvl w:ilvl="0" w:tplc="6F86D644">
      <w:start w:val="5"/>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31"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2"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3"/>
  </w:num>
  <w:num w:numId="3">
    <w:abstractNumId w:val="32"/>
  </w:num>
  <w:num w:numId="4">
    <w:abstractNumId w:val="13"/>
  </w:num>
  <w:num w:numId="5">
    <w:abstractNumId w:val="6"/>
  </w:num>
  <w:num w:numId="6">
    <w:abstractNumId w:val="30"/>
  </w:num>
  <w:num w:numId="7">
    <w:abstractNumId w:val="22"/>
  </w:num>
  <w:num w:numId="8">
    <w:abstractNumId w:val="15"/>
  </w:num>
  <w:num w:numId="9">
    <w:abstractNumId w:val="31"/>
  </w:num>
  <w:num w:numId="10">
    <w:abstractNumId w:val="7"/>
  </w:num>
  <w:num w:numId="11">
    <w:abstractNumId w:val="12"/>
  </w:num>
  <w:num w:numId="12">
    <w:abstractNumId w:val="4"/>
  </w:num>
  <w:num w:numId="13">
    <w:abstractNumId w:val="3"/>
  </w:num>
  <w:num w:numId="14">
    <w:abstractNumId w:val="8"/>
  </w:num>
  <w:num w:numId="15">
    <w:abstractNumId w:val="2"/>
  </w:num>
  <w:num w:numId="16">
    <w:abstractNumId w:val="1"/>
  </w:num>
  <w:num w:numId="17">
    <w:abstractNumId w:val="0"/>
  </w:num>
  <w:num w:numId="18">
    <w:abstractNumId w:val="25"/>
  </w:num>
  <w:num w:numId="19">
    <w:abstractNumId w:val="26"/>
  </w:num>
  <w:num w:numId="20">
    <w:abstractNumId w:val="11"/>
  </w:num>
  <w:num w:numId="21">
    <w:abstractNumId w:val="18"/>
    <w:lvlOverride w:ilvl="0">
      <w:startOverride w:val="1"/>
    </w:lvlOverride>
  </w:num>
  <w:num w:numId="22">
    <w:abstractNumId w:val="27"/>
    <w:lvlOverride w:ilvl="0">
      <w:startOverride w:val="1"/>
    </w:lvlOverride>
  </w:num>
  <w:num w:numId="23">
    <w:abstractNumId w:val="34"/>
  </w:num>
  <w:num w:numId="24">
    <w:abstractNumId w:val="10"/>
  </w:num>
  <w:num w:numId="25">
    <w:abstractNumId w:val="35"/>
  </w:num>
  <w:num w:numId="26">
    <w:abstractNumId w:val="24"/>
  </w:num>
  <w:num w:numId="27">
    <w:abstractNumId w:val="16"/>
  </w:num>
  <w:num w:numId="28">
    <w:abstractNumId w:val="23"/>
  </w:num>
  <w:num w:numId="29">
    <w:abstractNumId w:val="19"/>
  </w:num>
  <w:num w:numId="30">
    <w:abstractNumId w:val="9"/>
  </w:num>
  <w:num w:numId="31">
    <w:abstractNumId w:val="5"/>
  </w:num>
  <w:num w:numId="32">
    <w:abstractNumId w:val="28"/>
  </w:num>
  <w:num w:numId="33">
    <w:abstractNumId w:val="29"/>
  </w:num>
  <w:num w:numId="34">
    <w:abstractNumId w:val="20"/>
  </w:num>
  <w:num w:numId="35">
    <w:abstractNumId w:val="17"/>
  </w:num>
  <w:num w:numId="3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2F"/>
    <w:rsid w:val="0000002F"/>
    <w:rsid w:val="00033D4F"/>
    <w:rsid w:val="000350F2"/>
    <w:rsid w:val="00042BCB"/>
    <w:rsid w:val="000519C5"/>
    <w:rsid w:val="000708CB"/>
    <w:rsid w:val="000D3EDC"/>
    <w:rsid w:val="000D4C29"/>
    <w:rsid w:val="000E60F6"/>
    <w:rsid w:val="00113A07"/>
    <w:rsid w:val="001B06F9"/>
    <w:rsid w:val="00224D6A"/>
    <w:rsid w:val="00286A84"/>
    <w:rsid w:val="002B7E7F"/>
    <w:rsid w:val="002D4E31"/>
    <w:rsid w:val="00303137"/>
    <w:rsid w:val="00355B30"/>
    <w:rsid w:val="00432B3C"/>
    <w:rsid w:val="004555C7"/>
    <w:rsid w:val="00476C75"/>
    <w:rsid w:val="0048122A"/>
    <w:rsid w:val="004D7543"/>
    <w:rsid w:val="0053547A"/>
    <w:rsid w:val="00556460"/>
    <w:rsid w:val="00581299"/>
    <w:rsid w:val="005C4669"/>
    <w:rsid w:val="005C490A"/>
    <w:rsid w:val="00617A84"/>
    <w:rsid w:val="00662ECA"/>
    <w:rsid w:val="006C449B"/>
    <w:rsid w:val="00784EAC"/>
    <w:rsid w:val="00792A41"/>
    <w:rsid w:val="007A1C32"/>
    <w:rsid w:val="007D49AB"/>
    <w:rsid w:val="00816EAA"/>
    <w:rsid w:val="00820988"/>
    <w:rsid w:val="00822F93"/>
    <w:rsid w:val="00834D34"/>
    <w:rsid w:val="00845B2E"/>
    <w:rsid w:val="00862289"/>
    <w:rsid w:val="008A3164"/>
    <w:rsid w:val="0092254D"/>
    <w:rsid w:val="0096410B"/>
    <w:rsid w:val="00965961"/>
    <w:rsid w:val="009B131A"/>
    <w:rsid w:val="009B473C"/>
    <w:rsid w:val="009D4A71"/>
    <w:rsid w:val="00A00098"/>
    <w:rsid w:val="00A01375"/>
    <w:rsid w:val="00A04AF0"/>
    <w:rsid w:val="00A16747"/>
    <w:rsid w:val="00A20C53"/>
    <w:rsid w:val="00A4461C"/>
    <w:rsid w:val="00A71A4F"/>
    <w:rsid w:val="00AA3AB9"/>
    <w:rsid w:val="00AA6A62"/>
    <w:rsid w:val="00B146BC"/>
    <w:rsid w:val="00B23F58"/>
    <w:rsid w:val="00B3178B"/>
    <w:rsid w:val="00B708B1"/>
    <w:rsid w:val="00B924A2"/>
    <w:rsid w:val="00B96DBC"/>
    <w:rsid w:val="00BA436B"/>
    <w:rsid w:val="00BA4B62"/>
    <w:rsid w:val="00BC5C42"/>
    <w:rsid w:val="00C042E5"/>
    <w:rsid w:val="00C3522E"/>
    <w:rsid w:val="00C909B5"/>
    <w:rsid w:val="00CD1C37"/>
    <w:rsid w:val="00CD1E04"/>
    <w:rsid w:val="00D81B4E"/>
    <w:rsid w:val="00DB5A6F"/>
    <w:rsid w:val="00DD6A4B"/>
    <w:rsid w:val="00E40E99"/>
    <w:rsid w:val="00E4777F"/>
    <w:rsid w:val="00E93B9C"/>
    <w:rsid w:val="00EA4A1F"/>
    <w:rsid w:val="00EB69A3"/>
    <w:rsid w:val="00EE344B"/>
    <w:rsid w:val="00EF33E7"/>
    <w:rsid w:val="00F13BB4"/>
    <w:rsid w:val="00F3280F"/>
    <w:rsid w:val="00F36616"/>
    <w:rsid w:val="00F53D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49A2"/>
  <w15:docId w15:val="{D3C4EA6C-57D6-4EA3-8516-F6B91AEC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semiHidden/>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uiPriority w:val="99"/>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semiHidden/>
    <w:rsid w:val="00BA436B"/>
    <w:rPr>
      <w:rFonts w:ascii="Courier New" w:hAnsi="Courier New" w:cs="Courier New"/>
    </w:rPr>
  </w:style>
  <w:style w:type="character" w:customStyle="1" w:styleId="PlainTextChar">
    <w:name w:val="Plain Text Char"/>
    <w:basedOn w:val="DefaultParagraphFont"/>
    <w:link w:val="PlainText"/>
    <w:semiHidden/>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A4461C"/>
    <w:pPr>
      <w:adjustRightInd/>
      <w:spacing w:before="0" w:after="0" w:line="240" w:lineRule="auto"/>
      <w:ind w:left="720"/>
    </w:pPr>
    <w:rPr>
      <w:rFonts w:ascii="Times New Roman" w:eastAsia="Times New Roman" w:hAnsi="Times New Roman"/>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892C0.0133607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05-%20TEAM%20ORGANISATION\PROCEDURES\CLIENT%20PACK\MARKETS\BAHRAIN\FII%20Market%20Entry%20Requirements%20for%20Bahrain.dotx" TargetMode="External"/></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14A04-E7B4-4411-8362-981059AF1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98947F-9E7A-467B-87D8-7E95FF3F75EA}">
  <ds:schemaRefs>
    <ds:schemaRef ds:uri="http://schemas.microsoft.com/sharepoint/v3/contenttype/forms"/>
  </ds:schemaRefs>
</ds:datastoreItem>
</file>

<file path=customXml/itemProps3.xml><?xml version="1.0" encoding="utf-8"?>
<ds:datastoreItem xmlns:ds="http://schemas.openxmlformats.org/officeDocument/2006/customXml" ds:itemID="{17AEB668-340C-4590-BC54-013AF4BA21D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FII Market Entry Requirements for Bahrain</Template>
  <TotalTime>3</TotalTime>
  <Pages>5</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Youssoufi Naima (RBC ITS)</dc:creator>
  <cp:lastModifiedBy>Dsouza, Rima</cp:lastModifiedBy>
  <cp:revision>5</cp:revision>
  <dcterms:created xsi:type="dcterms:W3CDTF">2022-07-14T07:42:00Z</dcterms:created>
  <dcterms:modified xsi:type="dcterms:W3CDTF">2023-06-22T19:31:00Z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6" name="_NewReviewCycle">
    <vt:lpwstr/>
  </property>
  <property fmtid="{D5CDD505-2E9C-101B-9397-08002B2CF9AE}" pid="10" name="ContentTypeId">
    <vt:lpwstr>0x0101001393841FF044694F87FD5B256B00BC1E</vt:lpwstr>
  </property>
</Properties>
</file>