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0896E" w14:textId="77777777" w:rsidR="00432B3C" w:rsidRPr="00DD570C" w:rsidRDefault="00A4461C" w:rsidP="00432B3C">
      <w:pPr>
        <w:pStyle w:val="Heading1Sub-Heading"/>
      </w:pPr>
      <w:bookmarkStart w:id="0" w:name="_Toc328144057"/>
      <w:bookmarkStart w:id="1" w:name="_Toc336594671"/>
      <w:bookmarkStart w:id="2" w:name="_Toc328144059"/>
      <w:bookmarkStart w:id="3" w:name="_Toc336594674"/>
      <w:bookmarkStart w:id="4" w:name="_GoBack"/>
      <w:bookmarkEnd w:id="4"/>
      <w:r w:rsidRPr="00A4461C">
        <w:t xml:space="preserve">FII Market Entry Requirements for </w:t>
      </w:r>
      <w:r w:rsidR="00614A4A">
        <w:t>Kuwait</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000" w:firstRow="0" w:lastRow="0" w:firstColumn="0" w:lastColumn="0" w:noHBand="0" w:noVBand="0"/>
      </w:tblPr>
      <w:tblGrid>
        <w:gridCol w:w="1266"/>
        <w:gridCol w:w="80"/>
        <w:gridCol w:w="8499"/>
      </w:tblGrid>
      <w:tr w:rsidR="00A4461C" w14:paraId="5E808974" w14:textId="77777777" w:rsidTr="0000002F">
        <w:trPr>
          <w:tblCellSpacing w:w="15" w:type="dxa"/>
        </w:trPr>
        <w:tc>
          <w:tcPr>
            <w:tcW w:w="0" w:type="auto"/>
          </w:tcPr>
          <w:p w14:paraId="5E80896F" w14:textId="77777777" w:rsidR="00A4461C" w:rsidRDefault="00A4461C" w:rsidP="006128CB">
            <w:pPr>
              <w:pStyle w:val="NormalWeb"/>
              <w:jc w:val="both"/>
              <w:rPr>
                <w:rFonts w:ascii="Verdana" w:hAnsi="Verdana"/>
                <w:sz w:val="18"/>
                <w:szCs w:val="18"/>
              </w:rPr>
            </w:pPr>
            <w:bookmarkStart w:id="5" w:name="_Toc385322898"/>
            <w:bookmarkEnd w:id="0"/>
            <w:bookmarkEnd w:id="1"/>
            <w:r>
              <w:rPr>
                <w:rFonts w:ascii="Verdana" w:hAnsi="Verdana"/>
                <w:b/>
                <w:bCs/>
                <w:sz w:val="18"/>
                <w:szCs w:val="18"/>
              </w:rPr>
              <w:t>Important</w:t>
            </w:r>
          </w:p>
        </w:tc>
        <w:tc>
          <w:tcPr>
            <w:tcW w:w="50" w:type="dxa"/>
          </w:tcPr>
          <w:p w14:paraId="5E808970" w14:textId="77777777" w:rsidR="00A4461C" w:rsidRDefault="00A4461C" w:rsidP="006128CB">
            <w:pPr>
              <w:pStyle w:val="NormalWeb"/>
              <w:jc w:val="both"/>
              <w:rPr>
                <w:rFonts w:ascii="Verdana" w:hAnsi="Verdana"/>
                <w:sz w:val="18"/>
                <w:szCs w:val="18"/>
              </w:rPr>
            </w:pPr>
          </w:p>
        </w:tc>
        <w:tc>
          <w:tcPr>
            <w:tcW w:w="8454" w:type="dxa"/>
          </w:tcPr>
          <w:p w14:paraId="5E808971" w14:textId="77777777" w:rsidR="00A458CB" w:rsidRPr="00A458CB" w:rsidRDefault="00A458CB" w:rsidP="00A458CB">
            <w:pPr>
              <w:pStyle w:val="NormalWeb"/>
              <w:rPr>
                <w:rFonts w:ascii="Verdana" w:hAnsi="Verdana"/>
                <w:color w:val="757575"/>
                <w:sz w:val="18"/>
                <w:szCs w:val="18"/>
              </w:rPr>
            </w:pPr>
            <w:r w:rsidRPr="00A458CB">
              <w:rPr>
                <w:rFonts w:ascii="Verdana" w:hAnsi="Verdana"/>
                <w:color w:val="757575"/>
                <w:sz w:val="18"/>
                <w:szCs w:val="18"/>
              </w:rPr>
              <w:t>A segregated account at the level of the beneficial owner is required prior to investing in this market. As part of the account opening process, Citibank Kuwait will also apply for registration of the investor with the CSD, Kuwait Clearing Company (KCC) which is a mandatory requirement to invest in Kuwait.</w:t>
            </w:r>
          </w:p>
          <w:p w14:paraId="5E808972" w14:textId="77777777" w:rsidR="00A458CB" w:rsidRPr="009700A1" w:rsidRDefault="00A458CB" w:rsidP="00A458CB">
            <w:pPr>
              <w:autoSpaceDE w:val="0"/>
              <w:autoSpaceDN w:val="0"/>
              <w:rPr>
                <w:rFonts w:ascii="Verdana" w:hAnsi="Verdana"/>
                <w:color w:val="757575"/>
                <w:sz w:val="18"/>
                <w:szCs w:val="18"/>
              </w:rPr>
            </w:pPr>
            <w:r w:rsidRPr="009700A1">
              <w:rPr>
                <w:rFonts w:ascii="Verdana" w:hAnsi="Verdana"/>
                <w:color w:val="757575"/>
                <w:sz w:val="18"/>
                <w:szCs w:val="18"/>
              </w:rPr>
              <w:t>The Kuwait Stock Exchange (KSE) will review and approve all account opening requests for a mutual fund or equivalent.</w:t>
            </w:r>
          </w:p>
          <w:p w14:paraId="5E808973" w14:textId="77777777" w:rsidR="00A4461C" w:rsidRDefault="00A458CB" w:rsidP="00A458CB">
            <w:pPr>
              <w:spacing w:before="100" w:beforeAutospacing="1" w:after="100" w:afterAutospacing="1"/>
              <w:jc w:val="both"/>
              <w:rPr>
                <w:rFonts w:ascii="Verdana" w:hAnsi="Verdana"/>
                <w:color w:val="757575"/>
                <w:sz w:val="18"/>
                <w:szCs w:val="18"/>
              </w:rPr>
            </w:pPr>
            <w:r w:rsidRPr="00A458CB">
              <w:rPr>
                <w:rFonts w:ascii="Verdana" w:hAnsi="Verdana"/>
                <w:color w:val="757575"/>
                <w:sz w:val="18"/>
                <w:szCs w:val="18"/>
              </w:rPr>
              <w:t>Note: As part of the FII account opening process all documentation must be in exactly the same investor name and on the investor's letterhead where appropriate.</w:t>
            </w:r>
          </w:p>
        </w:tc>
      </w:tr>
      <w:tr w:rsidR="00A4461C" w:rsidRPr="0039497B" w14:paraId="5E808979" w14:textId="77777777" w:rsidTr="0000002F">
        <w:trPr>
          <w:tblCellSpacing w:w="15" w:type="dxa"/>
        </w:trPr>
        <w:tc>
          <w:tcPr>
            <w:tcW w:w="0" w:type="auto"/>
          </w:tcPr>
          <w:p w14:paraId="5E808975" w14:textId="77777777" w:rsidR="00A4461C" w:rsidRDefault="00A4461C" w:rsidP="006128CB">
            <w:pPr>
              <w:pStyle w:val="NormalWeb"/>
              <w:jc w:val="both"/>
              <w:rPr>
                <w:rFonts w:ascii="Verdana" w:hAnsi="Verdana"/>
                <w:sz w:val="18"/>
                <w:szCs w:val="18"/>
              </w:rPr>
            </w:pPr>
            <w:r>
              <w:rPr>
                <w:rFonts w:ascii="Verdana" w:hAnsi="Verdana"/>
                <w:b/>
                <w:bCs/>
                <w:sz w:val="18"/>
                <w:szCs w:val="18"/>
              </w:rPr>
              <w:t>Fees</w:t>
            </w:r>
          </w:p>
        </w:tc>
        <w:tc>
          <w:tcPr>
            <w:tcW w:w="50" w:type="dxa"/>
          </w:tcPr>
          <w:p w14:paraId="5E808976" w14:textId="77777777" w:rsidR="00A4461C" w:rsidRPr="007C001A" w:rsidRDefault="00A4461C" w:rsidP="006128CB">
            <w:pPr>
              <w:pStyle w:val="NormalWeb"/>
              <w:jc w:val="both"/>
              <w:rPr>
                <w:rFonts w:ascii="Verdana" w:hAnsi="Verdana"/>
                <w:sz w:val="18"/>
                <w:szCs w:val="18"/>
              </w:rPr>
            </w:pPr>
          </w:p>
        </w:tc>
        <w:tc>
          <w:tcPr>
            <w:tcW w:w="8454" w:type="dxa"/>
          </w:tcPr>
          <w:p w14:paraId="5E808977" w14:textId="77777777" w:rsidR="00A458CB" w:rsidRPr="00A458CB" w:rsidRDefault="00A458CB" w:rsidP="00A458CB">
            <w:pPr>
              <w:pStyle w:val="NormalWeb"/>
              <w:rPr>
                <w:rFonts w:ascii="Verdana" w:hAnsi="Verdana"/>
                <w:color w:val="757575"/>
                <w:sz w:val="18"/>
                <w:szCs w:val="18"/>
              </w:rPr>
            </w:pPr>
            <w:r w:rsidRPr="00A458CB">
              <w:rPr>
                <w:rFonts w:ascii="Verdana" w:hAnsi="Verdana"/>
                <w:color w:val="757575"/>
                <w:sz w:val="18"/>
                <w:szCs w:val="18"/>
              </w:rPr>
              <w:t xml:space="preserve">The Kuwait Clearing Company (KCC) charges KWD50 on all new applications as an out of pocket expense. </w:t>
            </w:r>
          </w:p>
          <w:p w14:paraId="5E808978" w14:textId="77777777" w:rsidR="00A4461C" w:rsidRPr="00A458CB" w:rsidRDefault="00A458CB" w:rsidP="00A458CB">
            <w:pPr>
              <w:pStyle w:val="NormalWeb"/>
              <w:rPr>
                <w:rFonts w:ascii="Verdana" w:hAnsi="Verdana"/>
                <w:sz w:val="18"/>
                <w:szCs w:val="18"/>
                <w:lang w:val="en-CA"/>
              </w:rPr>
            </w:pPr>
            <w:r w:rsidRPr="00A458CB">
              <w:rPr>
                <w:rFonts w:ascii="Verdana" w:hAnsi="Verdana"/>
                <w:color w:val="757575"/>
                <w:sz w:val="18"/>
                <w:szCs w:val="18"/>
              </w:rPr>
              <w:t xml:space="preserve">POA legalization fees in </w:t>
            </w:r>
            <w:smartTag w:uri="urn:schemas-microsoft-com:office:smarttags" w:element="country-region">
              <w:smartTag w:uri="urn:schemas-microsoft-com:office:smarttags" w:element="place">
                <w:r w:rsidRPr="00A458CB">
                  <w:rPr>
                    <w:rFonts w:ascii="Verdana" w:hAnsi="Verdana"/>
                    <w:color w:val="757575"/>
                    <w:sz w:val="18"/>
                    <w:szCs w:val="18"/>
                  </w:rPr>
                  <w:t>Kuwait</w:t>
                </w:r>
              </w:smartTag>
            </w:smartTag>
            <w:r w:rsidRPr="00A458CB">
              <w:rPr>
                <w:rFonts w:ascii="Verdana" w:hAnsi="Verdana"/>
                <w:color w:val="757575"/>
                <w:sz w:val="18"/>
                <w:szCs w:val="18"/>
              </w:rPr>
              <w:t xml:space="preserve"> (+/- KWD 5)</w:t>
            </w:r>
          </w:p>
        </w:tc>
      </w:tr>
      <w:tr w:rsidR="00A4461C" w14:paraId="5E80897D" w14:textId="77777777" w:rsidTr="0000002F">
        <w:trPr>
          <w:tblCellSpacing w:w="15" w:type="dxa"/>
        </w:trPr>
        <w:tc>
          <w:tcPr>
            <w:tcW w:w="0" w:type="auto"/>
          </w:tcPr>
          <w:p w14:paraId="5E80897A" w14:textId="77777777" w:rsidR="00A4461C" w:rsidRDefault="00A4461C" w:rsidP="006128CB">
            <w:pPr>
              <w:pStyle w:val="NormalWeb"/>
              <w:jc w:val="both"/>
              <w:rPr>
                <w:rFonts w:ascii="Verdana" w:hAnsi="Verdana"/>
                <w:sz w:val="18"/>
                <w:szCs w:val="18"/>
              </w:rPr>
            </w:pPr>
            <w:r>
              <w:rPr>
                <w:rFonts w:ascii="Verdana" w:hAnsi="Verdana"/>
                <w:b/>
                <w:bCs/>
                <w:sz w:val="18"/>
                <w:szCs w:val="18"/>
              </w:rPr>
              <w:t xml:space="preserve">Tax Consultant </w:t>
            </w:r>
          </w:p>
        </w:tc>
        <w:tc>
          <w:tcPr>
            <w:tcW w:w="50" w:type="dxa"/>
          </w:tcPr>
          <w:p w14:paraId="5E80897B" w14:textId="77777777" w:rsidR="00A4461C" w:rsidRDefault="00A4461C" w:rsidP="006128CB">
            <w:pPr>
              <w:pStyle w:val="NormalWeb"/>
              <w:jc w:val="both"/>
              <w:rPr>
                <w:rFonts w:ascii="Verdana" w:hAnsi="Verdana"/>
                <w:sz w:val="18"/>
                <w:szCs w:val="18"/>
              </w:rPr>
            </w:pPr>
          </w:p>
        </w:tc>
        <w:tc>
          <w:tcPr>
            <w:tcW w:w="8454" w:type="dxa"/>
          </w:tcPr>
          <w:p w14:paraId="5E80897C" w14:textId="77777777" w:rsidR="00A4461C" w:rsidRDefault="00A458CB" w:rsidP="006128CB">
            <w:pPr>
              <w:spacing w:before="100" w:beforeAutospacing="1" w:after="100" w:afterAutospacing="1"/>
              <w:jc w:val="both"/>
              <w:rPr>
                <w:rFonts w:ascii="Verdana" w:hAnsi="Verdana"/>
                <w:sz w:val="18"/>
                <w:szCs w:val="18"/>
              </w:rPr>
            </w:pPr>
            <w:r w:rsidRPr="00A458CB">
              <w:rPr>
                <w:rFonts w:ascii="Verdana" w:hAnsi="Verdana"/>
                <w:color w:val="757575"/>
                <w:sz w:val="18"/>
                <w:szCs w:val="18"/>
              </w:rPr>
              <w:t>Not required</w:t>
            </w:r>
          </w:p>
        </w:tc>
      </w:tr>
      <w:tr w:rsidR="0000002F" w14:paraId="5E808981" w14:textId="77777777" w:rsidTr="0000002F">
        <w:trPr>
          <w:tblCellSpacing w:w="15" w:type="dxa"/>
        </w:trPr>
        <w:tc>
          <w:tcPr>
            <w:tcW w:w="0" w:type="auto"/>
          </w:tcPr>
          <w:p w14:paraId="5E80897E" w14:textId="77777777" w:rsidR="0000002F" w:rsidRDefault="0000002F" w:rsidP="006128CB">
            <w:pPr>
              <w:pStyle w:val="NormalWeb"/>
              <w:jc w:val="both"/>
              <w:rPr>
                <w:rFonts w:ascii="Verdana" w:hAnsi="Verdana"/>
                <w:b/>
                <w:bCs/>
                <w:sz w:val="18"/>
                <w:szCs w:val="18"/>
              </w:rPr>
            </w:pPr>
            <w:r>
              <w:rPr>
                <w:rFonts w:ascii="Verdana" w:hAnsi="Verdana"/>
                <w:b/>
                <w:bCs/>
                <w:sz w:val="18"/>
                <w:szCs w:val="18"/>
              </w:rPr>
              <w:t xml:space="preserve">E-signature  </w:t>
            </w:r>
          </w:p>
        </w:tc>
        <w:tc>
          <w:tcPr>
            <w:tcW w:w="50" w:type="dxa"/>
          </w:tcPr>
          <w:p w14:paraId="5E80897F" w14:textId="77777777" w:rsidR="0000002F" w:rsidRDefault="0000002F" w:rsidP="006128CB">
            <w:pPr>
              <w:pStyle w:val="NormalWeb"/>
              <w:jc w:val="both"/>
              <w:rPr>
                <w:rFonts w:ascii="Verdana" w:hAnsi="Verdana"/>
                <w:sz w:val="18"/>
                <w:szCs w:val="18"/>
              </w:rPr>
            </w:pPr>
          </w:p>
        </w:tc>
        <w:tc>
          <w:tcPr>
            <w:tcW w:w="8454" w:type="dxa"/>
          </w:tcPr>
          <w:p w14:paraId="5E808980" w14:textId="77777777" w:rsidR="0000002F" w:rsidRPr="00C457C6" w:rsidRDefault="00A458CB" w:rsidP="00CD1E04">
            <w:pPr>
              <w:spacing w:before="100" w:beforeAutospacing="1" w:after="100" w:afterAutospacing="1"/>
              <w:jc w:val="both"/>
              <w:rPr>
                <w:rFonts w:ascii="Verdana" w:hAnsi="Verdana"/>
                <w:color w:val="757575"/>
                <w:sz w:val="18"/>
                <w:szCs w:val="18"/>
              </w:rPr>
            </w:pPr>
            <w:r>
              <w:rPr>
                <w:rFonts w:ascii="Verdana" w:hAnsi="Verdana"/>
                <w:color w:val="757575"/>
                <w:sz w:val="18"/>
                <w:szCs w:val="18"/>
              </w:rPr>
              <w:t>Not accepted</w:t>
            </w:r>
          </w:p>
        </w:tc>
      </w:tr>
      <w:bookmarkEnd w:id="5"/>
    </w:tbl>
    <w:p w14:paraId="5E808982" w14:textId="77777777" w:rsidR="00F36616" w:rsidRDefault="00F36616" w:rsidP="00432B3C">
      <w:pPr>
        <w:pStyle w:val="Heading2"/>
      </w:pPr>
    </w:p>
    <w:p w14:paraId="5E808983" w14:textId="77777777" w:rsidR="00F36616" w:rsidRDefault="00F36616" w:rsidP="00432B3C">
      <w:pPr>
        <w:pStyle w:val="Heading2"/>
      </w:pPr>
    </w:p>
    <w:p w14:paraId="5E808984" w14:textId="77777777" w:rsidR="00F36616" w:rsidRDefault="00F36616" w:rsidP="00432B3C">
      <w:pPr>
        <w:pStyle w:val="Heading2"/>
      </w:pPr>
    </w:p>
    <w:p w14:paraId="5E808985" w14:textId="77777777" w:rsidR="00CD1E04" w:rsidRDefault="00CD1E04">
      <w:pPr>
        <w:adjustRightInd/>
        <w:spacing w:before="0" w:after="200" w:line="276" w:lineRule="auto"/>
        <w:rPr>
          <w:color w:val="0060A9"/>
          <w:sz w:val="25"/>
          <w:szCs w:val="25"/>
        </w:rPr>
      </w:pPr>
      <w:r>
        <w:br w:type="page"/>
      </w:r>
    </w:p>
    <w:p w14:paraId="5E808986" w14:textId="77777777" w:rsidR="00F36616" w:rsidRDefault="00F36616" w:rsidP="00432B3C">
      <w:pPr>
        <w:pStyle w:val="Heading2"/>
      </w:pPr>
    </w:p>
    <w:p w14:paraId="5E808987" w14:textId="77777777" w:rsidR="00432B3C" w:rsidRPr="0000002F" w:rsidRDefault="00A4461C" w:rsidP="00432B3C">
      <w:pPr>
        <w:pStyle w:val="Heading2"/>
      </w:pPr>
      <w:r w:rsidRPr="0000002F">
        <w:t>Account Opening</w:t>
      </w:r>
    </w:p>
    <w:p w14:paraId="5E808988" w14:textId="77777777" w:rsidR="00A4461C" w:rsidRDefault="00A4461C" w:rsidP="00A4461C">
      <w:pPr>
        <w:pStyle w:val="NormalWeb"/>
        <w:spacing w:after="0"/>
        <w:jc w:val="both"/>
        <w:rPr>
          <w:rFonts w:ascii="Verdana" w:hAnsi="Verdana"/>
          <w:b/>
          <w:sz w:val="18"/>
          <w:szCs w:val="18"/>
        </w:rPr>
      </w:pPr>
      <w:bookmarkStart w:id="6" w:name="_Toc336594673"/>
      <w:bookmarkStart w:id="7" w:name="_Toc385322899"/>
      <w:r w:rsidRPr="00C457C6">
        <w:rPr>
          <w:rFonts w:ascii="Verdana" w:hAnsi="Verdana"/>
          <w:b/>
          <w:sz w:val="18"/>
          <w:szCs w:val="18"/>
        </w:rPr>
        <w:t xml:space="preserve">Documentation </w:t>
      </w:r>
      <w:r>
        <w:rPr>
          <w:rFonts w:ascii="Verdana" w:hAnsi="Verdana"/>
          <w:b/>
          <w:sz w:val="18"/>
          <w:szCs w:val="18"/>
        </w:rPr>
        <w:t>Required by the Agent</w:t>
      </w:r>
    </w:p>
    <w:p w14:paraId="5E808989" w14:textId="77777777" w:rsidR="00A4461C" w:rsidRPr="00161CC0" w:rsidRDefault="00A458CB" w:rsidP="0000002F">
      <w:pPr>
        <w:pStyle w:val="ListParagraph"/>
        <w:numPr>
          <w:ilvl w:val="0"/>
          <w:numId w:val="31"/>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POA</w:t>
      </w:r>
      <w:r w:rsidR="00A4461C" w:rsidRPr="0000002F">
        <w:rPr>
          <w:rFonts w:ascii="Verdana" w:hAnsi="Verdana"/>
          <w:b/>
          <w:color w:val="757575"/>
          <w:sz w:val="18"/>
          <w:szCs w:val="18"/>
        </w:rPr>
        <w:t xml:space="preserve"> – </w:t>
      </w:r>
      <w:r w:rsidR="00A4461C" w:rsidRPr="00B708B1">
        <w:rPr>
          <w:rFonts w:ascii="Verdana" w:hAnsi="Verdana"/>
          <w:i/>
          <w:iCs/>
          <w:color w:val="757575"/>
          <w:sz w:val="18"/>
          <w:szCs w:val="18"/>
        </w:rPr>
        <w:t>Original</w:t>
      </w:r>
      <w:r w:rsidR="00A4461C" w:rsidRPr="00B708B1">
        <w:rPr>
          <w:rFonts w:ascii="Verdana" w:hAnsi="Verdana"/>
          <w:b/>
          <w:i/>
          <w:iCs/>
          <w:color w:val="757575"/>
          <w:sz w:val="18"/>
          <w:szCs w:val="18"/>
        </w:rPr>
        <w:t xml:space="preserve"> </w:t>
      </w:r>
      <w:r w:rsidR="00A4461C" w:rsidRPr="00B708B1">
        <w:rPr>
          <w:rFonts w:ascii="Verdana" w:hAnsi="Verdana"/>
          <w:i/>
          <w:iCs/>
          <w:color w:val="757575"/>
          <w:sz w:val="18"/>
          <w:szCs w:val="18"/>
        </w:rPr>
        <w:t>notarized and consularized</w:t>
      </w:r>
    </w:p>
    <w:p w14:paraId="5E80898A" w14:textId="77777777" w:rsidR="00161CC0" w:rsidRPr="00161CC0" w:rsidRDefault="00161CC0" w:rsidP="00AD4AE9">
      <w:pPr>
        <w:spacing w:before="100" w:beforeAutospacing="1" w:after="100" w:afterAutospacing="1"/>
        <w:ind w:left="360" w:firstLine="720"/>
        <w:contextualSpacing/>
        <w:rPr>
          <w:rFonts w:ascii="Verdana" w:hAnsi="Verdana"/>
          <w:b/>
          <w:i/>
          <w:iCs/>
          <w:color w:val="757575"/>
          <w:sz w:val="18"/>
          <w:szCs w:val="18"/>
        </w:rPr>
      </w:pPr>
      <w:r>
        <w:rPr>
          <w:rFonts w:ascii="Verdana" w:eastAsiaTheme="minorHAnsi" w:hAnsi="Verdana" w:cstheme="minorBidi"/>
          <w:szCs w:val="22"/>
          <w:lang w:eastAsia="en-US"/>
        </w:rPr>
        <w:object w:dxaOrig="1440" w:dyaOrig="1215" w14:anchorId="5E808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1pt" o:ole="">
            <v:imagedata r:id="rId10" o:title=""/>
          </v:shape>
          <o:OLEObject Type="Embed" ProgID="Outlook.FileAttach" ShapeID="_x0000_i1025" DrawAspect="Icon" ObjectID="_1748265224" r:id="rId11"/>
        </w:object>
      </w:r>
    </w:p>
    <w:p w14:paraId="5E80898B" w14:textId="77777777" w:rsidR="00A458CB" w:rsidRPr="00A458CB" w:rsidRDefault="00A458CB" w:rsidP="0000002F">
      <w:pPr>
        <w:pStyle w:val="ListParagraph"/>
        <w:numPr>
          <w:ilvl w:val="0"/>
          <w:numId w:val="31"/>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 xml:space="preserve">Supporting document </w:t>
      </w:r>
      <w:r>
        <w:rPr>
          <w:rFonts w:ascii="Verdana" w:hAnsi="Verdana"/>
          <w:color w:val="757575"/>
          <w:sz w:val="18"/>
          <w:szCs w:val="18"/>
        </w:rPr>
        <w:t xml:space="preserve">– </w:t>
      </w:r>
      <w:r>
        <w:rPr>
          <w:rFonts w:ascii="Verdana" w:hAnsi="Verdana"/>
          <w:i/>
          <w:color w:val="757575"/>
          <w:sz w:val="18"/>
          <w:szCs w:val="18"/>
        </w:rPr>
        <w:t>to be notarized</w:t>
      </w:r>
    </w:p>
    <w:p w14:paraId="5E80898C" w14:textId="77777777" w:rsidR="00A458CB" w:rsidRPr="00A458CB" w:rsidRDefault="00A458CB" w:rsidP="00A458CB">
      <w:pPr>
        <w:spacing w:before="100" w:beforeAutospacing="1" w:after="100" w:afterAutospacing="1"/>
        <w:contextualSpacing/>
        <w:rPr>
          <w:rFonts w:ascii="Verdana" w:hAnsi="Verdana"/>
          <w:i/>
          <w:iCs/>
          <w:color w:val="757575"/>
          <w:sz w:val="18"/>
          <w:szCs w:val="18"/>
        </w:rPr>
      </w:pPr>
      <w:r w:rsidRPr="00A458CB">
        <w:rPr>
          <w:rFonts w:ascii="Verdana" w:hAnsi="Verdana"/>
          <w:i/>
          <w:iCs/>
          <w:color w:val="757575"/>
          <w:sz w:val="18"/>
          <w:szCs w:val="18"/>
        </w:rPr>
        <w:t>Certificate of Incorporation OR Commercial Register Certificate OR Trust Agreement OR Prospectus</w:t>
      </w:r>
    </w:p>
    <w:p w14:paraId="5E80898D" w14:textId="77777777" w:rsidR="00B708B1" w:rsidRPr="00A458CB" w:rsidRDefault="00A458CB" w:rsidP="00A458CB">
      <w:pPr>
        <w:pStyle w:val="ListParagraph"/>
        <w:numPr>
          <w:ilvl w:val="0"/>
          <w:numId w:val="31"/>
        </w:numPr>
        <w:spacing w:before="100" w:beforeAutospacing="1" w:after="100" w:afterAutospacing="1"/>
        <w:contextualSpacing/>
        <w:jc w:val="both"/>
        <w:rPr>
          <w:rFonts w:ascii="Verdana" w:hAnsi="Verdana"/>
          <w:color w:val="808080"/>
          <w:sz w:val="18"/>
          <w:szCs w:val="18"/>
        </w:rPr>
      </w:pPr>
      <w:r w:rsidRPr="00A458CB">
        <w:rPr>
          <w:rFonts w:ascii="Verdana" w:hAnsi="Verdana"/>
          <w:b/>
          <w:color w:val="808080"/>
          <w:sz w:val="18"/>
          <w:szCs w:val="18"/>
        </w:rPr>
        <w:t>Client’s details</w:t>
      </w:r>
      <w:r>
        <w:rPr>
          <w:rFonts w:ascii="Verdana" w:hAnsi="Verdana"/>
          <w:color w:val="808080"/>
          <w:sz w:val="18"/>
          <w:szCs w:val="18"/>
        </w:rPr>
        <w:t xml:space="preserve"> – </w:t>
      </w:r>
      <w:r w:rsidR="00161CC0">
        <w:rPr>
          <w:rFonts w:ascii="Verdana" w:hAnsi="Verdana"/>
          <w:i/>
          <w:color w:val="808080"/>
          <w:sz w:val="18"/>
          <w:szCs w:val="18"/>
        </w:rPr>
        <w:t>by email</w:t>
      </w:r>
    </w:p>
    <w:p w14:paraId="5E80898E" w14:textId="77777777" w:rsidR="00A458CB" w:rsidRDefault="00A458CB" w:rsidP="00A458CB">
      <w:pPr>
        <w:spacing w:before="100" w:beforeAutospacing="1" w:after="100" w:afterAutospacing="1"/>
        <w:contextualSpacing/>
        <w:jc w:val="both"/>
        <w:rPr>
          <w:rFonts w:ascii="Verdana" w:hAnsi="Verdana"/>
          <w:color w:val="808080"/>
          <w:sz w:val="18"/>
          <w:szCs w:val="18"/>
        </w:rPr>
      </w:pPr>
      <w:r>
        <w:rPr>
          <w:rFonts w:ascii="Verdana" w:hAnsi="Verdana"/>
          <w:color w:val="808080"/>
          <w:sz w:val="18"/>
          <w:szCs w:val="18"/>
        </w:rPr>
        <w:t>Incorporation / registration number</w:t>
      </w:r>
    </w:p>
    <w:p w14:paraId="5E80898F" w14:textId="77777777" w:rsidR="00A458CB" w:rsidRPr="00A458CB" w:rsidRDefault="00A458CB" w:rsidP="00A458CB">
      <w:pPr>
        <w:spacing w:before="100" w:beforeAutospacing="1" w:after="100" w:afterAutospacing="1"/>
        <w:contextualSpacing/>
        <w:jc w:val="both"/>
        <w:rPr>
          <w:rFonts w:ascii="Verdana" w:hAnsi="Verdana"/>
          <w:color w:val="808080"/>
          <w:sz w:val="18"/>
          <w:szCs w:val="18"/>
        </w:rPr>
      </w:pPr>
      <w:r>
        <w:rPr>
          <w:rFonts w:ascii="Verdana" w:hAnsi="Verdana"/>
          <w:color w:val="808080"/>
          <w:sz w:val="18"/>
          <w:szCs w:val="18"/>
        </w:rPr>
        <w:t>Country of incorporation / registration</w:t>
      </w:r>
    </w:p>
    <w:p w14:paraId="5E808990"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5E808991"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5E808992"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5E808993"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87"/>
        <w:gridCol w:w="8658"/>
      </w:tblGrid>
      <w:tr w:rsidR="00CD1E04" w:rsidRPr="00DB69BC" w14:paraId="5E808996" w14:textId="77777777" w:rsidTr="00E17E8B">
        <w:trPr>
          <w:tblCellSpacing w:w="15" w:type="dxa"/>
        </w:trPr>
        <w:tc>
          <w:tcPr>
            <w:tcW w:w="0" w:type="auto"/>
          </w:tcPr>
          <w:p w14:paraId="5E808994" w14:textId="77777777" w:rsidR="00CD1E04" w:rsidRDefault="00CD1E04" w:rsidP="00E17E8B">
            <w:pPr>
              <w:pStyle w:val="NormalWeb"/>
              <w:jc w:val="both"/>
              <w:rPr>
                <w:rFonts w:ascii="Verdana" w:hAnsi="Verdana"/>
                <w:sz w:val="18"/>
                <w:szCs w:val="18"/>
              </w:rPr>
            </w:pPr>
            <w:r>
              <w:rPr>
                <w:rFonts w:ascii="Verdana" w:hAnsi="Verdana"/>
                <w:b/>
                <w:bCs/>
                <w:sz w:val="18"/>
                <w:szCs w:val="18"/>
              </w:rPr>
              <w:t>Timing</w:t>
            </w:r>
          </w:p>
        </w:tc>
        <w:tc>
          <w:tcPr>
            <w:tcW w:w="0" w:type="auto"/>
          </w:tcPr>
          <w:p w14:paraId="5E808995" w14:textId="77777777" w:rsidR="00CD1E04" w:rsidRPr="00D12E2C" w:rsidRDefault="00CD1E04" w:rsidP="00A458CB">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sidR="00A458CB">
              <w:rPr>
                <w:rFonts w:ascii="Verdana" w:hAnsi="Verdana"/>
                <w:color w:val="757575"/>
                <w:sz w:val="18"/>
                <w:szCs w:val="18"/>
                <w:lang w:eastAsia="en-GB"/>
              </w:rPr>
              <w:t>10</w:t>
            </w:r>
            <w:r w:rsidRPr="00A4461C">
              <w:rPr>
                <w:rFonts w:ascii="Verdana" w:hAnsi="Verdana"/>
                <w:color w:val="757575"/>
                <w:sz w:val="18"/>
                <w:szCs w:val="18"/>
                <w:lang w:eastAsia="en-GB"/>
              </w:rPr>
              <w:t xml:space="preserve"> business days post completion and acceptance of documents by the agent. The executed documents received from the client may be sent for further certification or legalization affecting the turnaround time for market application. The documents may also be subject to regulatory and KYC checks and additional documents may be requested by the agent/market authorities which could potentially extend the normal processing time.</w:t>
            </w:r>
          </w:p>
        </w:tc>
      </w:tr>
      <w:tr w:rsidR="00CD1E04" w14:paraId="5E808999" w14:textId="77777777" w:rsidTr="00E17E8B">
        <w:trPr>
          <w:tblCellSpacing w:w="15" w:type="dxa"/>
        </w:trPr>
        <w:tc>
          <w:tcPr>
            <w:tcW w:w="0" w:type="auto"/>
          </w:tcPr>
          <w:p w14:paraId="5E808997" w14:textId="77777777" w:rsidR="00CD1E04" w:rsidRDefault="00CD1E04" w:rsidP="00E17E8B">
            <w:pPr>
              <w:pStyle w:val="NormalWeb"/>
              <w:jc w:val="both"/>
              <w:rPr>
                <w:rFonts w:ascii="Verdana" w:hAnsi="Verdana"/>
                <w:sz w:val="18"/>
                <w:szCs w:val="18"/>
              </w:rPr>
            </w:pPr>
            <w:r>
              <w:rPr>
                <w:rFonts w:ascii="Verdana" w:hAnsi="Verdana"/>
                <w:b/>
                <w:bCs/>
                <w:sz w:val="18"/>
                <w:szCs w:val="18"/>
              </w:rPr>
              <w:t>Sub-custodian</w:t>
            </w:r>
          </w:p>
        </w:tc>
        <w:tc>
          <w:tcPr>
            <w:tcW w:w="0" w:type="auto"/>
          </w:tcPr>
          <w:p w14:paraId="5E808998" w14:textId="66229EBE" w:rsidR="00CD1E04" w:rsidRPr="00D12E2C" w:rsidRDefault="00380765" w:rsidP="00E17E8B">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CD1E04">
              <w:rPr>
                <w:rFonts w:ascii="Verdana" w:hAnsi="Verdana"/>
                <w:color w:val="757575"/>
                <w:sz w:val="18"/>
                <w:szCs w:val="18"/>
                <w:lang w:eastAsia="en-GB"/>
              </w:rPr>
              <w:t>S</w:t>
            </w:r>
            <w:r w:rsidR="00CD1E04" w:rsidRPr="00D12E2C">
              <w:rPr>
                <w:rFonts w:ascii="Verdana" w:hAnsi="Verdana"/>
                <w:color w:val="757575"/>
                <w:sz w:val="18"/>
                <w:szCs w:val="18"/>
                <w:lang w:eastAsia="en-GB"/>
              </w:rPr>
              <w:t xml:space="preserve"> has appointed </w:t>
            </w:r>
            <w:r w:rsidR="00161CC0" w:rsidRPr="00161CC0">
              <w:rPr>
                <w:rFonts w:ascii="Verdana" w:hAnsi="Verdana"/>
                <w:color w:val="757575"/>
                <w:sz w:val="18"/>
                <w:szCs w:val="18"/>
                <w:lang w:eastAsia="en-GB"/>
              </w:rPr>
              <w:t xml:space="preserve">Citibank Kuwait </w:t>
            </w:r>
            <w:r w:rsidR="00CD1E04" w:rsidRPr="00D12E2C">
              <w:rPr>
                <w:rFonts w:ascii="Verdana" w:hAnsi="Verdana"/>
                <w:color w:val="757575"/>
                <w:sz w:val="18"/>
                <w:szCs w:val="18"/>
                <w:lang w:eastAsia="en-GB"/>
              </w:rPr>
              <w:t>as Sub-custodian. Their role is to open and manage the securities account.</w:t>
            </w:r>
          </w:p>
        </w:tc>
      </w:tr>
      <w:tr w:rsidR="00CD1E04" w:rsidRPr="00DB69BC" w14:paraId="5E80899C" w14:textId="77777777" w:rsidTr="00E17E8B">
        <w:trPr>
          <w:tblCellSpacing w:w="15" w:type="dxa"/>
        </w:trPr>
        <w:tc>
          <w:tcPr>
            <w:tcW w:w="0" w:type="auto"/>
          </w:tcPr>
          <w:p w14:paraId="5E80899A" w14:textId="77777777" w:rsidR="00CD1E04" w:rsidRDefault="00CD1E04" w:rsidP="00E17E8B">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5E80899B" w14:textId="77777777" w:rsidR="00CD1E04" w:rsidRPr="00D12E2C" w:rsidRDefault="00CD1E04" w:rsidP="00E17E8B">
            <w:pPr>
              <w:pStyle w:val="NormalWeb"/>
              <w:jc w:val="both"/>
              <w:rPr>
                <w:rFonts w:ascii="Verdana" w:hAnsi="Verdana"/>
                <w:color w:val="757575"/>
                <w:sz w:val="18"/>
                <w:szCs w:val="18"/>
                <w:lang w:eastAsia="en-GB"/>
              </w:rPr>
            </w:pPr>
            <w:r w:rsidRPr="00D12E2C">
              <w:rPr>
                <w:rFonts w:ascii="Verdana" w:hAnsi="Verdana"/>
                <w:color w:val="757575"/>
                <w:sz w:val="18"/>
                <w:szCs w:val="18"/>
                <w:lang w:eastAsia="en-GB"/>
              </w:rPr>
              <w:t>None</w:t>
            </w:r>
          </w:p>
        </w:tc>
      </w:tr>
    </w:tbl>
    <w:p w14:paraId="5E80899D"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5E80899E"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5E80899F"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5E8089A0"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5E8089A1" w14:textId="77777777" w:rsidR="00CD1E04" w:rsidRDefault="00CD1E04">
      <w:pPr>
        <w:adjustRightInd/>
        <w:spacing w:before="0" w:after="200" w:line="276" w:lineRule="auto"/>
        <w:rPr>
          <w:rFonts w:ascii="Verdana" w:hAnsi="Verdana"/>
          <w:color w:val="808080"/>
          <w:sz w:val="18"/>
          <w:szCs w:val="18"/>
        </w:rPr>
      </w:pPr>
      <w:r>
        <w:rPr>
          <w:rFonts w:ascii="Verdana" w:hAnsi="Verdana"/>
          <w:color w:val="808080"/>
          <w:sz w:val="18"/>
          <w:szCs w:val="18"/>
        </w:rPr>
        <w:br w:type="page"/>
      </w:r>
    </w:p>
    <w:p w14:paraId="5E8089A2"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5E8089A3" w14:textId="77777777" w:rsidR="00A4461C" w:rsidRPr="00A67CB1" w:rsidRDefault="00A4461C" w:rsidP="00F36616">
      <w:pPr>
        <w:pStyle w:val="Heading3"/>
        <w:tabs>
          <w:tab w:val="center" w:pos="4877"/>
        </w:tabs>
        <w:rPr>
          <w:sz w:val="25"/>
          <w:szCs w:val="25"/>
        </w:rPr>
      </w:pPr>
      <w:r w:rsidRPr="00A67CB1">
        <w:rPr>
          <w:sz w:val="25"/>
          <w:szCs w:val="25"/>
        </w:rPr>
        <w:t xml:space="preserve">Name change </w:t>
      </w:r>
    </w:p>
    <w:p w14:paraId="5E8089A4" w14:textId="77777777" w:rsidR="00A4461C" w:rsidRDefault="00A4461C" w:rsidP="00F36616">
      <w:pPr>
        <w:tabs>
          <w:tab w:val="left" w:pos="2070"/>
        </w:tabs>
        <w:rPr>
          <w:rFonts w:ascii="Verdana" w:hAnsi="Verdana"/>
          <w:b/>
          <w:bCs/>
          <w:color w:val="757575"/>
          <w:sz w:val="18"/>
          <w:szCs w:val="18"/>
          <w:lang w:eastAsia="en-GB"/>
        </w:rPr>
      </w:pPr>
      <w:r w:rsidRPr="00C457C6">
        <w:rPr>
          <w:rFonts w:ascii="Verdana" w:hAnsi="Verdana"/>
          <w:b/>
          <w:sz w:val="18"/>
          <w:szCs w:val="18"/>
        </w:rPr>
        <w:t xml:space="preserve">Documentation </w:t>
      </w:r>
      <w:r>
        <w:rPr>
          <w:rFonts w:ascii="Verdana" w:hAnsi="Verdana"/>
          <w:b/>
          <w:sz w:val="18"/>
          <w:szCs w:val="18"/>
        </w:rPr>
        <w:t>Required</w:t>
      </w:r>
      <w:r w:rsidR="00F36616">
        <w:rPr>
          <w:rFonts w:ascii="Verdana" w:hAnsi="Verdana"/>
          <w:b/>
          <w:sz w:val="18"/>
          <w:szCs w:val="18"/>
        </w:rPr>
        <w:t xml:space="preserve"> </w:t>
      </w:r>
      <w:r>
        <w:rPr>
          <w:rFonts w:ascii="Verdana" w:hAnsi="Verdana"/>
          <w:b/>
          <w:sz w:val="18"/>
          <w:szCs w:val="18"/>
        </w:rPr>
        <w:t>by the Agent</w:t>
      </w:r>
    </w:p>
    <w:p w14:paraId="5E8089A5" w14:textId="77777777" w:rsidR="00B708B1" w:rsidRPr="00161CC0" w:rsidRDefault="00161CC0" w:rsidP="00B708B1">
      <w:pPr>
        <w:pStyle w:val="ListParagraph"/>
        <w:numPr>
          <w:ilvl w:val="0"/>
          <w:numId w:val="35"/>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POA</w:t>
      </w:r>
      <w:r w:rsidRPr="0000002F">
        <w:rPr>
          <w:rFonts w:ascii="Verdana" w:hAnsi="Verdana"/>
          <w:b/>
          <w:color w:val="757575"/>
          <w:sz w:val="18"/>
          <w:szCs w:val="18"/>
        </w:rPr>
        <w:t xml:space="preserve"> </w:t>
      </w:r>
      <w:r w:rsidR="00B708B1" w:rsidRPr="0000002F">
        <w:rPr>
          <w:rFonts w:ascii="Verdana" w:hAnsi="Verdana"/>
          <w:b/>
          <w:color w:val="757575"/>
          <w:sz w:val="18"/>
          <w:szCs w:val="18"/>
        </w:rPr>
        <w:t xml:space="preserve">– </w:t>
      </w:r>
      <w:r w:rsidR="00B708B1" w:rsidRPr="00B708B1">
        <w:rPr>
          <w:rFonts w:ascii="Verdana" w:hAnsi="Verdana"/>
          <w:i/>
          <w:iCs/>
          <w:color w:val="757575"/>
          <w:sz w:val="18"/>
          <w:szCs w:val="18"/>
        </w:rPr>
        <w:t>Original</w:t>
      </w:r>
      <w:r w:rsidR="00B708B1" w:rsidRPr="00B708B1">
        <w:rPr>
          <w:rFonts w:ascii="Verdana" w:hAnsi="Verdana"/>
          <w:b/>
          <w:i/>
          <w:iCs/>
          <w:color w:val="757575"/>
          <w:sz w:val="18"/>
          <w:szCs w:val="18"/>
        </w:rPr>
        <w:t xml:space="preserve"> </w:t>
      </w:r>
      <w:r w:rsidR="00B708B1">
        <w:rPr>
          <w:rFonts w:ascii="Verdana" w:hAnsi="Verdana"/>
          <w:i/>
          <w:iCs/>
          <w:color w:val="757575"/>
          <w:sz w:val="18"/>
          <w:szCs w:val="18"/>
        </w:rPr>
        <w:t>notarized and consularized</w:t>
      </w:r>
    </w:p>
    <w:p w14:paraId="5E8089A6" w14:textId="77777777" w:rsidR="00161CC0" w:rsidRPr="00161CC0" w:rsidRDefault="00161CC0" w:rsidP="00AD4AE9">
      <w:pPr>
        <w:spacing w:before="100" w:beforeAutospacing="1" w:after="100" w:afterAutospacing="1"/>
        <w:ind w:left="360" w:firstLine="720"/>
        <w:contextualSpacing/>
        <w:rPr>
          <w:rFonts w:ascii="Verdana" w:hAnsi="Verdana"/>
          <w:b/>
          <w:i/>
          <w:iCs/>
          <w:color w:val="757575"/>
          <w:sz w:val="18"/>
          <w:szCs w:val="18"/>
        </w:rPr>
      </w:pPr>
      <w:r>
        <w:rPr>
          <w:rFonts w:ascii="Verdana" w:eastAsiaTheme="minorHAnsi" w:hAnsi="Verdana" w:cstheme="minorBidi"/>
          <w:szCs w:val="22"/>
          <w:lang w:eastAsia="en-US"/>
        </w:rPr>
        <w:object w:dxaOrig="1440" w:dyaOrig="1215" w14:anchorId="5E8089B6">
          <v:shape id="_x0000_i1026" type="#_x0000_t75" style="width:1in;height:61pt" o:ole="">
            <v:imagedata r:id="rId10" o:title=""/>
          </v:shape>
          <o:OLEObject Type="Embed" ProgID="Outlook.FileAttach" ShapeID="_x0000_i1026" DrawAspect="Icon" ObjectID="_1748265225" r:id="rId12"/>
        </w:object>
      </w:r>
    </w:p>
    <w:p w14:paraId="5E8089A7" w14:textId="77777777" w:rsidR="00161CC0" w:rsidRPr="00B708B1" w:rsidRDefault="00161CC0" w:rsidP="00B708B1">
      <w:pPr>
        <w:pStyle w:val="ListParagraph"/>
        <w:numPr>
          <w:ilvl w:val="0"/>
          <w:numId w:val="35"/>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 xml:space="preserve">Official document supporting the name change </w:t>
      </w:r>
      <w:r>
        <w:rPr>
          <w:rFonts w:ascii="Verdana" w:hAnsi="Verdana"/>
          <w:color w:val="757575"/>
          <w:sz w:val="18"/>
          <w:szCs w:val="18"/>
        </w:rPr>
        <w:t xml:space="preserve">– </w:t>
      </w:r>
      <w:r>
        <w:rPr>
          <w:rFonts w:ascii="Verdana" w:hAnsi="Verdana"/>
          <w:i/>
          <w:color w:val="757575"/>
          <w:sz w:val="18"/>
          <w:szCs w:val="18"/>
        </w:rPr>
        <w:t>to be notarized</w:t>
      </w:r>
    </w:p>
    <w:p w14:paraId="5E8089A8" w14:textId="77777777" w:rsidR="00CD1E04" w:rsidRDefault="00CD1E04">
      <w:pPr>
        <w:adjustRightInd/>
        <w:spacing w:before="0" w:after="200" w:line="276" w:lineRule="auto"/>
        <w:rPr>
          <w:color w:val="0060A9"/>
          <w:sz w:val="25"/>
          <w:szCs w:val="25"/>
        </w:rPr>
      </w:pPr>
      <w:r>
        <w:rPr>
          <w:sz w:val="25"/>
          <w:szCs w:val="25"/>
        </w:rPr>
        <w:br w:type="page"/>
      </w:r>
    </w:p>
    <w:p w14:paraId="5E8089A9" w14:textId="77777777" w:rsidR="00CD1E04" w:rsidRDefault="00CD1E04" w:rsidP="00F36616">
      <w:pPr>
        <w:pStyle w:val="Heading3"/>
        <w:tabs>
          <w:tab w:val="center" w:pos="4877"/>
        </w:tabs>
        <w:rPr>
          <w:sz w:val="25"/>
          <w:szCs w:val="25"/>
        </w:rPr>
      </w:pPr>
    </w:p>
    <w:p w14:paraId="5E8089AA" w14:textId="77777777" w:rsidR="00A4461C" w:rsidRPr="00F36616" w:rsidRDefault="00A4461C" w:rsidP="00F36616">
      <w:pPr>
        <w:pStyle w:val="Heading3"/>
        <w:tabs>
          <w:tab w:val="center" w:pos="4877"/>
        </w:tabs>
        <w:rPr>
          <w:sz w:val="25"/>
          <w:szCs w:val="25"/>
        </w:rPr>
      </w:pPr>
      <w:r w:rsidRPr="00F36616">
        <w:rPr>
          <w:sz w:val="25"/>
          <w:szCs w:val="25"/>
        </w:rPr>
        <w:t>Account Closure</w:t>
      </w:r>
    </w:p>
    <w:p w14:paraId="5E8089AB" w14:textId="77777777" w:rsidR="00A20C53" w:rsidRDefault="00F36616" w:rsidP="00F36616">
      <w:pPr>
        <w:jc w:val="both"/>
        <w:rPr>
          <w:rFonts w:ascii="Verdana" w:hAnsi="Verdana"/>
          <w:color w:val="757575"/>
          <w:sz w:val="18"/>
          <w:szCs w:val="18"/>
          <w:lang w:eastAsia="en-GB"/>
        </w:rPr>
      </w:pPr>
      <w:r>
        <w:rPr>
          <w:rFonts w:ascii="Verdana" w:hAnsi="Verdana"/>
          <w:color w:val="757575"/>
          <w:sz w:val="18"/>
          <w:szCs w:val="18"/>
          <w:lang w:eastAsia="en-GB"/>
        </w:rPr>
        <w:t>No d</w:t>
      </w:r>
      <w:r w:rsidR="00A4461C">
        <w:rPr>
          <w:rFonts w:ascii="Verdana" w:hAnsi="Verdana"/>
          <w:color w:val="757575"/>
          <w:sz w:val="18"/>
          <w:szCs w:val="18"/>
          <w:lang w:eastAsia="en-GB"/>
        </w:rPr>
        <w:t>ocumentation required</w:t>
      </w:r>
      <w:r w:rsidR="00A20C53">
        <w:rPr>
          <w:rFonts w:ascii="Verdana" w:hAnsi="Verdana"/>
          <w:color w:val="757575"/>
          <w:sz w:val="18"/>
          <w:szCs w:val="18"/>
          <w:lang w:eastAsia="en-GB"/>
        </w:rPr>
        <w:t xml:space="preserve"> however client should always ensure t</w:t>
      </w:r>
      <w:r w:rsidR="00A20C53" w:rsidRPr="00042F42">
        <w:rPr>
          <w:rFonts w:ascii="Verdana" w:hAnsi="Verdana"/>
          <w:color w:val="757575"/>
          <w:sz w:val="18"/>
          <w:szCs w:val="18"/>
          <w:lang w:eastAsia="en-GB"/>
        </w:rPr>
        <w:t xml:space="preserve">here </w:t>
      </w:r>
      <w:r w:rsidR="00A20C53">
        <w:rPr>
          <w:rFonts w:ascii="Verdana" w:hAnsi="Verdana"/>
          <w:color w:val="757575"/>
          <w:sz w:val="18"/>
          <w:szCs w:val="18"/>
          <w:lang w:eastAsia="en-GB"/>
        </w:rPr>
        <w:t xml:space="preserve">are </w:t>
      </w:r>
      <w:r w:rsidR="00A20C53" w:rsidRPr="00042F42">
        <w:rPr>
          <w:rFonts w:ascii="Verdana" w:hAnsi="Verdana"/>
          <w:color w:val="757575"/>
          <w:sz w:val="18"/>
          <w:szCs w:val="18"/>
          <w:lang w:eastAsia="en-GB"/>
        </w:rPr>
        <w:t>no outstanding trades, corporate actions, fees and holdings</w:t>
      </w:r>
      <w:r w:rsidR="00A20C53">
        <w:rPr>
          <w:rFonts w:ascii="Verdana" w:hAnsi="Verdana"/>
          <w:color w:val="757575"/>
          <w:sz w:val="18"/>
          <w:szCs w:val="18"/>
          <w:lang w:eastAsia="en-GB"/>
        </w:rPr>
        <w:t xml:space="preserve"> prior to sending the closure instruction.</w:t>
      </w:r>
    </w:p>
    <w:p w14:paraId="5E8089AC" w14:textId="77777777" w:rsidR="00BC5C42" w:rsidRDefault="00BC5C42" w:rsidP="00A4461C">
      <w:pPr>
        <w:rPr>
          <w:rFonts w:ascii="Verdana" w:hAnsi="Verdana"/>
          <w:color w:val="757575"/>
          <w:sz w:val="18"/>
          <w:szCs w:val="18"/>
          <w:lang w:eastAsia="en-GB"/>
        </w:rPr>
      </w:pPr>
    </w:p>
    <w:p w14:paraId="5E8089AD" w14:textId="77777777" w:rsidR="00BC5C42" w:rsidRDefault="00BC5C42" w:rsidP="00A4461C">
      <w:pPr>
        <w:rPr>
          <w:rFonts w:ascii="Verdana" w:hAnsi="Verdana"/>
          <w:color w:val="757575"/>
          <w:sz w:val="18"/>
          <w:szCs w:val="18"/>
          <w:lang w:eastAsia="en-GB"/>
        </w:rPr>
      </w:pPr>
    </w:p>
    <w:bookmarkEnd w:id="6"/>
    <w:bookmarkEnd w:id="7"/>
    <w:p w14:paraId="5E8089AE" w14:textId="77777777" w:rsidR="00B924A2" w:rsidRDefault="00B924A2" w:rsidP="00B924A2">
      <w:pPr>
        <w:pStyle w:val="BodyText"/>
        <w:rPr>
          <w:lang w:eastAsia="en-US"/>
        </w:rPr>
      </w:pPr>
    </w:p>
    <w:p w14:paraId="5E8089AF" w14:textId="77777777" w:rsidR="00B924A2" w:rsidRPr="00B924A2" w:rsidRDefault="00B924A2" w:rsidP="00B924A2">
      <w:pPr>
        <w:pStyle w:val="BodyText"/>
        <w:rPr>
          <w:lang w:eastAsia="en-US"/>
        </w:rPr>
      </w:pPr>
    </w:p>
    <w:p w14:paraId="5E8089B0" w14:textId="77777777" w:rsidR="00B924A2" w:rsidRPr="00B924A2" w:rsidRDefault="00B924A2" w:rsidP="00B924A2">
      <w:pPr>
        <w:pStyle w:val="BodyText"/>
        <w:rPr>
          <w:lang w:eastAsia="en-US"/>
        </w:rPr>
      </w:pPr>
    </w:p>
    <w:bookmarkEnd w:id="2"/>
    <w:bookmarkEnd w:id="3"/>
    <w:p w14:paraId="5E8089B1" w14:textId="77777777" w:rsidR="00432B3C" w:rsidRPr="003C744E" w:rsidRDefault="00432B3C" w:rsidP="00432B3C">
      <w:pPr>
        <w:pStyle w:val="ListNumber"/>
        <w:sectPr w:rsidR="00432B3C" w:rsidRPr="003C744E" w:rsidSect="00DD570C">
          <w:footerReference w:type="default" r:id="rId13"/>
          <w:headerReference w:type="first" r:id="rId14"/>
          <w:footerReference w:type="first" r:id="rId15"/>
          <w:pgSz w:w="11909" w:h="16834" w:code="9"/>
          <w:pgMar w:top="1077" w:right="1077" w:bottom="1077" w:left="1077" w:header="1080" w:footer="432" w:gutter="0"/>
          <w:pgNumType w:start="1"/>
          <w:cols w:space="720"/>
          <w:titlePg/>
          <w:docGrid w:linePitch="360"/>
        </w:sectPr>
      </w:pPr>
    </w:p>
    <w:p w14:paraId="5E8089B2" w14:textId="77777777" w:rsidR="00432B3C" w:rsidRPr="00DD570C" w:rsidRDefault="00432B3C" w:rsidP="00432B3C">
      <w:pPr>
        <w:pStyle w:val="TitleDisclaimer"/>
      </w:pPr>
      <w:r w:rsidRPr="00DD570C">
        <w:lastRenderedPageBreak/>
        <w:t>Disclaimer</w:t>
      </w:r>
    </w:p>
    <w:p w14:paraId="5E8089B4" w14:textId="1C589B10" w:rsidR="00A67A57" w:rsidRDefault="00380765">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sectPr w:rsidR="00A67A57" w:rsidSect="00DD570C">
      <w:headerReference w:type="even" r:id="rId16"/>
      <w:headerReference w:type="first" r:id="rId17"/>
      <w:footerReference w:type="first" r:id="rId18"/>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089B9" w14:textId="77777777" w:rsidR="0000002F" w:rsidRDefault="0000002F" w:rsidP="00432B3C">
      <w:pPr>
        <w:spacing w:before="0" w:after="0" w:line="240" w:lineRule="auto"/>
      </w:pPr>
      <w:r>
        <w:separator/>
      </w:r>
    </w:p>
  </w:endnote>
  <w:endnote w:type="continuationSeparator" w:id="0">
    <w:p w14:paraId="5E8089BA" w14:textId="77777777" w:rsidR="0000002F" w:rsidRDefault="0000002F"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89BB" w14:textId="77777777" w:rsidR="005F0563"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AD4AE9">
      <w:rPr>
        <w:rStyle w:val="PageNumber"/>
        <w:b/>
        <w:caps w:val="0"/>
      </w:rPr>
      <w:t>2</w:t>
    </w:r>
    <w:r w:rsidRPr="009B18F0">
      <w:rPr>
        <w:rStyle w:val="PageNumber"/>
        <w:b/>
        <w:caps w:val="0"/>
      </w:rPr>
      <w:fldChar w:fldCharType="end"/>
    </w:r>
    <w:r>
      <w:t xml:space="preserve">  |  </w:t>
    </w:r>
    <w:fldSimple w:instr=" STYLEREF  &quot;Heading 1 + Sub-Heading&quot;  \* MERGEFORMAT ">
      <w:r w:rsidR="00AD4AE9">
        <w:t>FII Market Entry Requirements for Kuwait</w:t>
      </w:r>
    </w:fldSimple>
    <w:r>
      <w:rPr>
        <w:snapToGrid/>
        <w:lang w:eastAsia="en-US"/>
      </w:rPr>
      <mc:AlternateContent>
        <mc:Choice Requires="wps">
          <w:drawing>
            <wp:anchor distT="0" distB="0" distL="114300" distR="114300" simplePos="0" relativeHeight="251660288" behindDoc="0" locked="0" layoutInCell="1" allowOverlap="1" wp14:anchorId="5E8089C1" wp14:editId="5E8089C2">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5E8089C8" w14:textId="77777777">
                            <w:trPr>
                              <w:trHeight w:hRule="exact" w:val="547"/>
                            </w:trPr>
                            <w:tc>
                              <w:tcPr>
                                <w:tcW w:w="3096" w:type="dxa"/>
                              </w:tcPr>
                              <w:p w14:paraId="5E8089C7" w14:textId="77777777" w:rsidR="000720EB" w:rsidRDefault="00EA4A1F" w:rsidP="00F25609">
                                <w:pPr>
                                  <w:pStyle w:val="Draft"/>
                                </w:pPr>
                                <w:r>
                                  <w:t>Draft</w:t>
                                </w:r>
                              </w:p>
                            </w:tc>
                          </w:tr>
                        </w:tbl>
                        <w:p w14:paraId="5E8089C9" w14:textId="77777777" w:rsidR="000720EB" w:rsidRDefault="00AD4AE9"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089C1"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0720EB" w14:paraId="5E8089C8" w14:textId="77777777">
                      <w:trPr>
                        <w:trHeight w:hRule="exact" w:val="547"/>
                      </w:trPr>
                      <w:tc>
                        <w:tcPr>
                          <w:tcW w:w="3096" w:type="dxa"/>
                        </w:tcPr>
                        <w:p w14:paraId="5E8089C7" w14:textId="77777777" w:rsidR="000720EB" w:rsidRDefault="00EA4A1F" w:rsidP="00F25609">
                          <w:pPr>
                            <w:pStyle w:val="Draft"/>
                          </w:pPr>
                          <w:r>
                            <w:t>Draft</w:t>
                          </w:r>
                        </w:p>
                      </w:tc>
                    </w:tr>
                  </w:tbl>
                  <w:p w14:paraId="5E8089C9" w14:textId="77777777" w:rsidR="000720EB" w:rsidRDefault="00AD4AE9" w:rsidP="000720E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89BD" w14:textId="77777777" w:rsidR="000839ED"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AD4AE9">
      <w:rPr>
        <w:rStyle w:val="PageNumber"/>
        <w:b/>
      </w:rPr>
      <w:t>1</w:t>
    </w:r>
    <w:r w:rsidRPr="00DD570C">
      <w:rPr>
        <w:rStyle w:val="PageNumber"/>
        <w:b/>
      </w:rPr>
      <w:fldChar w:fldCharType="end"/>
    </w:r>
    <w:r w:rsidRPr="00B0308B">
      <w:t xml:space="preserve">  |  </w:t>
    </w:r>
    <w:fldSimple w:instr=" STYLEREF  &quot;Heading 1 + Sub-Heading&quot;  \* MERGEFORMAT ">
      <w:r w:rsidR="00AD4AE9">
        <w:t>FII Market Entry Requirements for Kuwait</w:t>
      </w:r>
    </w:fldSimple>
    <w:r>
      <w:rPr>
        <w:snapToGrid/>
        <w:lang w:eastAsia="en-US"/>
      </w:rPr>
      <mc:AlternateContent>
        <mc:Choice Requires="wps">
          <w:drawing>
            <wp:anchor distT="0" distB="0" distL="114300" distR="114300" simplePos="0" relativeHeight="251659264" behindDoc="0" locked="0" layoutInCell="1" allowOverlap="1" wp14:anchorId="5E8089C5" wp14:editId="5E8089C6">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5E8089CB" w14:textId="77777777">
                            <w:trPr>
                              <w:trHeight w:hRule="exact" w:val="547"/>
                            </w:trPr>
                            <w:tc>
                              <w:tcPr>
                                <w:tcW w:w="3096" w:type="dxa"/>
                              </w:tcPr>
                              <w:p w14:paraId="5E8089CA" w14:textId="77777777" w:rsidR="009C5B88" w:rsidRDefault="00EA4A1F" w:rsidP="00F25609">
                                <w:pPr>
                                  <w:pStyle w:val="Draft"/>
                                </w:pPr>
                                <w:r>
                                  <w:t>Draft</w:t>
                                </w:r>
                              </w:p>
                            </w:tc>
                          </w:tr>
                        </w:tbl>
                        <w:p w14:paraId="5E8089CC" w14:textId="77777777" w:rsidR="009C5B88" w:rsidRDefault="00AD4AE9"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089C5"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9C5B88" w14:paraId="5E8089CB" w14:textId="77777777">
                      <w:trPr>
                        <w:trHeight w:hRule="exact" w:val="547"/>
                      </w:trPr>
                      <w:tc>
                        <w:tcPr>
                          <w:tcW w:w="3096" w:type="dxa"/>
                        </w:tcPr>
                        <w:p w14:paraId="5E8089CA" w14:textId="77777777" w:rsidR="009C5B88" w:rsidRDefault="00EA4A1F" w:rsidP="00F25609">
                          <w:pPr>
                            <w:pStyle w:val="Draft"/>
                          </w:pPr>
                          <w:r>
                            <w:t>Draft</w:t>
                          </w:r>
                        </w:p>
                      </w:tc>
                    </w:tr>
                  </w:tbl>
                  <w:p w14:paraId="5E8089CC" w14:textId="77777777" w:rsidR="009C5B88" w:rsidRDefault="00AD4AE9" w:rsidP="009C5B8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89C0" w14:textId="6F914BD9" w:rsidR="00745241" w:rsidRPr="00B0308B" w:rsidRDefault="00380765" w:rsidP="00B0308B">
    <w:pPr>
      <w:pStyle w:val="FooterBackcover"/>
    </w:pPr>
    <w:r>
      <w:t>rbci</w:t>
    </w:r>
    <w:r w:rsidR="00EA4A1F">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089B7" w14:textId="77777777" w:rsidR="0000002F" w:rsidRDefault="0000002F" w:rsidP="00432B3C">
      <w:pPr>
        <w:spacing w:before="0" w:after="0" w:line="240" w:lineRule="auto"/>
      </w:pPr>
      <w:r>
        <w:separator/>
      </w:r>
    </w:p>
  </w:footnote>
  <w:footnote w:type="continuationSeparator" w:id="0">
    <w:p w14:paraId="5E8089B8" w14:textId="77777777" w:rsidR="0000002F" w:rsidRDefault="0000002F"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89BC" w14:textId="778B0210" w:rsidR="007D7938" w:rsidRPr="00D24DF2" w:rsidRDefault="00380765" w:rsidP="00AE6A20">
    <w:pPr>
      <w:spacing w:before="0" w:after="1080"/>
    </w:pPr>
    <w:r>
      <w:rPr>
        <w:noProof/>
        <w:lang w:eastAsia="en-US"/>
      </w:rPr>
      <w:drawing>
        <wp:inline distT="0" distB="0" distL="0" distR="0" wp14:anchorId="2ADB0D5C" wp14:editId="309C4B7A">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89BE" w14:textId="77777777" w:rsidR="00745241" w:rsidRDefault="00AD4A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89BF" w14:textId="77777777" w:rsidR="00745241" w:rsidRPr="00D24DF2" w:rsidRDefault="00AD4AE9" w:rsidP="00494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8223662"/>
    <w:multiLevelType w:val="hybridMultilevel"/>
    <w:tmpl w:val="8E70F644"/>
    <w:lvl w:ilvl="0" w:tplc="26E68820">
      <w:start w:val="1"/>
      <w:numFmt w:val="lowerLetter"/>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8"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BD1D59"/>
    <w:multiLevelType w:val="hybridMultilevel"/>
    <w:tmpl w:val="6CF46B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3"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564074"/>
    <w:multiLevelType w:val="multilevel"/>
    <w:tmpl w:val="E858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D2F53"/>
    <w:multiLevelType w:val="hybridMultilevel"/>
    <w:tmpl w:val="D708011C"/>
    <w:lvl w:ilvl="0" w:tplc="0478DBA2">
      <w:start w:val="1"/>
      <w:numFmt w:val="lowerLetter"/>
      <w:lvlText w:val="%1)"/>
      <w:lvlJc w:val="left"/>
      <w:pPr>
        <w:ind w:left="1080" w:hanging="360"/>
      </w:pPr>
      <w:rPr>
        <w:rFonts w:hint="default"/>
        <w:b/>
        <w:i w:val="0"/>
        <w:iCs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787FCA"/>
    <w:multiLevelType w:val="hybridMultilevel"/>
    <w:tmpl w:val="F326C09C"/>
    <w:lvl w:ilvl="0" w:tplc="3A6A735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041BF"/>
    <w:multiLevelType w:val="hybridMultilevel"/>
    <w:tmpl w:val="FEBAF34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5"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8" w15:restartNumberingAfterBreak="0">
    <w:nsid w:val="66384DD0"/>
    <w:multiLevelType w:val="hybridMultilevel"/>
    <w:tmpl w:val="B46C48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4217CB"/>
    <w:multiLevelType w:val="hybridMultilevel"/>
    <w:tmpl w:val="84449F68"/>
    <w:lvl w:ilvl="0" w:tplc="6F86D644">
      <w:start w:val="5"/>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31"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2"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3"/>
  </w:num>
  <w:num w:numId="3">
    <w:abstractNumId w:val="32"/>
  </w:num>
  <w:num w:numId="4">
    <w:abstractNumId w:val="13"/>
  </w:num>
  <w:num w:numId="5">
    <w:abstractNumId w:val="6"/>
  </w:num>
  <w:num w:numId="6">
    <w:abstractNumId w:val="30"/>
  </w:num>
  <w:num w:numId="7">
    <w:abstractNumId w:val="22"/>
  </w:num>
  <w:num w:numId="8">
    <w:abstractNumId w:val="16"/>
  </w:num>
  <w:num w:numId="9">
    <w:abstractNumId w:val="31"/>
  </w:num>
  <w:num w:numId="10">
    <w:abstractNumId w:val="7"/>
  </w:num>
  <w:num w:numId="11">
    <w:abstractNumId w:val="12"/>
  </w:num>
  <w:num w:numId="12">
    <w:abstractNumId w:val="4"/>
  </w:num>
  <w:num w:numId="13">
    <w:abstractNumId w:val="3"/>
  </w:num>
  <w:num w:numId="14">
    <w:abstractNumId w:val="8"/>
  </w:num>
  <w:num w:numId="15">
    <w:abstractNumId w:val="2"/>
  </w:num>
  <w:num w:numId="16">
    <w:abstractNumId w:val="1"/>
  </w:num>
  <w:num w:numId="17">
    <w:abstractNumId w:val="0"/>
  </w:num>
  <w:num w:numId="18">
    <w:abstractNumId w:val="25"/>
  </w:num>
  <w:num w:numId="19">
    <w:abstractNumId w:val="26"/>
  </w:num>
  <w:num w:numId="20">
    <w:abstractNumId w:val="11"/>
  </w:num>
  <w:num w:numId="21">
    <w:abstractNumId w:val="19"/>
    <w:lvlOverride w:ilvl="0">
      <w:startOverride w:val="1"/>
    </w:lvlOverride>
  </w:num>
  <w:num w:numId="22">
    <w:abstractNumId w:val="27"/>
    <w:lvlOverride w:ilvl="0">
      <w:startOverride w:val="1"/>
    </w:lvlOverride>
  </w:num>
  <w:num w:numId="23">
    <w:abstractNumId w:val="34"/>
  </w:num>
  <w:num w:numId="24">
    <w:abstractNumId w:val="10"/>
  </w:num>
  <w:num w:numId="25">
    <w:abstractNumId w:val="35"/>
  </w:num>
  <w:num w:numId="26">
    <w:abstractNumId w:val="24"/>
  </w:num>
  <w:num w:numId="27">
    <w:abstractNumId w:val="17"/>
  </w:num>
  <w:num w:numId="28">
    <w:abstractNumId w:val="23"/>
  </w:num>
  <w:num w:numId="29">
    <w:abstractNumId w:val="20"/>
  </w:num>
  <w:num w:numId="30">
    <w:abstractNumId w:val="9"/>
  </w:num>
  <w:num w:numId="31">
    <w:abstractNumId w:val="5"/>
  </w:num>
  <w:num w:numId="32">
    <w:abstractNumId w:val="28"/>
  </w:num>
  <w:num w:numId="33">
    <w:abstractNumId w:val="29"/>
  </w:num>
  <w:num w:numId="34">
    <w:abstractNumId w:val="21"/>
  </w:num>
  <w:num w:numId="35">
    <w:abstractNumId w:val="18"/>
  </w:num>
  <w:num w:numId="36">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2F"/>
    <w:rsid w:val="0000002F"/>
    <w:rsid w:val="00033D4F"/>
    <w:rsid w:val="00042BCB"/>
    <w:rsid w:val="000519C5"/>
    <w:rsid w:val="000708CB"/>
    <w:rsid w:val="000D3EDC"/>
    <w:rsid w:val="000D4C29"/>
    <w:rsid w:val="000E60F6"/>
    <w:rsid w:val="00113A07"/>
    <w:rsid w:val="00161CC0"/>
    <w:rsid w:val="001B06F9"/>
    <w:rsid w:val="00224D6A"/>
    <w:rsid w:val="00286A84"/>
    <w:rsid w:val="002B7E7F"/>
    <w:rsid w:val="002D4E31"/>
    <w:rsid w:val="00303137"/>
    <w:rsid w:val="00355B30"/>
    <w:rsid w:val="00380765"/>
    <w:rsid w:val="00432B3C"/>
    <w:rsid w:val="004555C7"/>
    <w:rsid w:val="00476C75"/>
    <w:rsid w:val="0048122A"/>
    <w:rsid w:val="004D7543"/>
    <w:rsid w:val="00556460"/>
    <w:rsid w:val="00581299"/>
    <w:rsid w:val="005C490A"/>
    <w:rsid w:val="00614A4A"/>
    <w:rsid w:val="00617A84"/>
    <w:rsid w:val="00662ECA"/>
    <w:rsid w:val="00784EAC"/>
    <w:rsid w:val="00792A41"/>
    <w:rsid w:val="007A1C32"/>
    <w:rsid w:val="007D49AB"/>
    <w:rsid w:val="00816EAA"/>
    <w:rsid w:val="00820988"/>
    <w:rsid w:val="00822F93"/>
    <w:rsid w:val="00845B2E"/>
    <w:rsid w:val="00862289"/>
    <w:rsid w:val="008A3164"/>
    <w:rsid w:val="0096410B"/>
    <w:rsid w:val="00965961"/>
    <w:rsid w:val="009B131A"/>
    <w:rsid w:val="009B473C"/>
    <w:rsid w:val="009D4A71"/>
    <w:rsid w:val="00A00098"/>
    <w:rsid w:val="00A01375"/>
    <w:rsid w:val="00A04AF0"/>
    <w:rsid w:val="00A16747"/>
    <w:rsid w:val="00A20C53"/>
    <w:rsid w:val="00A4461C"/>
    <w:rsid w:val="00A458CB"/>
    <w:rsid w:val="00A71A4F"/>
    <w:rsid w:val="00AA3AB9"/>
    <w:rsid w:val="00AA6A62"/>
    <w:rsid w:val="00AD4AE9"/>
    <w:rsid w:val="00B146BC"/>
    <w:rsid w:val="00B23F58"/>
    <w:rsid w:val="00B3178B"/>
    <w:rsid w:val="00B45AFD"/>
    <w:rsid w:val="00B708B1"/>
    <w:rsid w:val="00B924A2"/>
    <w:rsid w:val="00B96DBC"/>
    <w:rsid w:val="00BA436B"/>
    <w:rsid w:val="00BC5C42"/>
    <w:rsid w:val="00C042E5"/>
    <w:rsid w:val="00C3522E"/>
    <w:rsid w:val="00C909B5"/>
    <w:rsid w:val="00CD1C37"/>
    <w:rsid w:val="00CD1E04"/>
    <w:rsid w:val="00D81B4E"/>
    <w:rsid w:val="00DB5A6F"/>
    <w:rsid w:val="00DD6A4B"/>
    <w:rsid w:val="00E40E99"/>
    <w:rsid w:val="00E4777F"/>
    <w:rsid w:val="00EA4A1F"/>
    <w:rsid w:val="00EB69A3"/>
    <w:rsid w:val="00EE344B"/>
    <w:rsid w:val="00EF33E7"/>
    <w:rsid w:val="00F3280F"/>
    <w:rsid w:val="00F36616"/>
    <w:rsid w:val="00F53D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14:docId w14:val="5E80896E"/>
  <w15:docId w15:val="{D0726ECD-7D40-4DA9-979B-4916778A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uiPriority w:val="99"/>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05-%20TEAM%20ORGANISATION\PROCEDURES\CLIENT%20PACK\MARKETS\BAHRAIN\FII%20Market%20Entry%20Requirements%20for%20Bahrain.dotx" TargetMode="External"/></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CFE13-5AAA-4527-B70C-E28F43FE94BF}">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877E2B6-92B7-4923-B9E1-CD53310C8AC5}">
  <ds:schemaRefs>
    <ds:schemaRef ds:uri="http://schemas.microsoft.com/sharepoint/v3/contenttype/forms"/>
  </ds:schemaRefs>
</ds:datastoreItem>
</file>

<file path=customXml/itemProps3.xml><?xml version="1.0" encoding="utf-8"?>
<ds:datastoreItem xmlns:ds="http://schemas.openxmlformats.org/officeDocument/2006/customXml" ds:itemID="{0930B9F8-1BB2-41A6-BB60-F86631B4F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FII Market Entry Requirements for Bahrain</Template>
  <TotalTime>1</TotalTime>
  <Pages>5</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Youssoufi Naima (RBC ITS)</dc:creator>
  <cp:lastModifiedBy>Dsouza, Rima</cp:lastModifiedBy>
  <cp:revision>4</cp:revision>
  <dcterms:created xsi:type="dcterms:W3CDTF">2021-10-07T13:11:00Z</dcterms:created>
  <dcterms:modified xsi:type="dcterms:W3CDTF">2023-06-14T20:17:00Z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6" name="_NewReviewCycle">
    <vt:lpwstr/>
  </property>
  <property fmtid="{D5CDD505-2E9C-101B-9397-08002B2CF9AE}" pid="10" name="ContentTypeId">
    <vt:lpwstr>0x0101001393841FF044694F87FD5B256B00BC1E</vt:lpwstr>
  </property>
</Properties>
</file>