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BB4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 xml:space="preserve">Re: </w:t>
      </w:r>
      <w:r w:rsidRPr="00391DD3">
        <w:rPr>
          <w:rFonts w:ascii="Arial" w:hAnsi="Arial" w:cs="Arial"/>
          <w:b/>
        </w:rPr>
        <w:t>Bondholder Information Request</w:t>
      </w:r>
    </w:p>
    <w:p w14:paraId="0EC04C7E" w14:textId="77777777" w:rsidR="00F6648A" w:rsidRPr="00004331" w:rsidRDefault="00F6648A" w:rsidP="00031C49">
      <w:pPr>
        <w:spacing w:after="0" w:line="240" w:lineRule="auto"/>
        <w:rPr>
          <w:rFonts w:ascii="Arial" w:hAnsi="Arial" w:cs="Arial"/>
          <w:color w:val="000000"/>
        </w:rPr>
      </w:pP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  <w:t xml:space="preserve"> </w:t>
      </w:r>
      <w:r w:rsidRPr="00391DD3">
        <w:rPr>
          <w:rFonts w:ascii="Arial" w:hAnsi="Arial" w:cs="Arial"/>
        </w:rPr>
        <w:tab/>
      </w:r>
      <w:r w:rsidRPr="00391DD3">
        <w:rPr>
          <w:rFonts w:ascii="Arial" w:hAnsi="Arial" w:cs="Arial"/>
        </w:rPr>
        <w:tab/>
      </w:r>
    </w:p>
    <w:p w14:paraId="6D97E4A3" w14:textId="77777777" w:rsidR="005E7A93" w:rsidRPr="005E7A93" w:rsidRDefault="005E7A93" w:rsidP="00216BF0">
      <w:pPr>
        <w:spacing w:line="240" w:lineRule="auto"/>
        <w:jc w:val="both"/>
        <w:rPr>
          <w:rFonts w:ascii="Arial" w:hAnsi="Arial" w:cs="Arial"/>
          <w:b/>
        </w:rPr>
      </w:pPr>
      <w:r w:rsidRPr="005E7A93">
        <w:rPr>
          <w:rFonts w:ascii="Arial" w:hAnsi="Arial" w:cs="Arial"/>
          <w:b/>
        </w:rPr>
        <w:t>"France (FR) French Companies Act Law 2001 - 4220 of 15 May 2002, and there is reference to ""TPIs"" (</w:t>
      </w:r>
      <w:proofErr w:type="gramStart"/>
      <w:r w:rsidRPr="005E7A93">
        <w:rPr>
          <w:rFonts w:ascii="Arial" w:hAnsi="Arial" w:cs="Arial"/>
          <w:b/>
        </w:rPr>
        <w:t>i.e.</w:t>
      </w:r>
      <w:proofErr w:type="gramEnd"/>
      <w:r w:rsidRPr="005E7A93">
        <w:rPr>
          <w:rFonts w:ascii="Arial" w:hAnsi="Arial" w:cs="Arial"/>
          <w:b/>
        </w:rPr>
        <w:t xml:space="preserve"> titres au </w:t>
      </w:r>
      <w:proofErr w:type="spellStart"/>
      <w:r w:rsidRPr="005E7A93">
        <w:rPr>
          <w:rFonts w:ascii="Arial" w:hAnsi="Arial" w:cs="Arial"/>
          <w:b/>
        </w:rPr>
        <w:t>porteur</w:t>
      </w:r>
      <w:proofErr w:type="spellEnd"/>
      <w:r w:rsidRPr="005E7A93">
        <w:rPr>
          <w:rFonts w:ascii="Arial" w:hAnsi="Arial" w:cs="Arial"/>
          <w:b/>
        </w:rPr>
        <w:t xml:space="preserve"> </w:t>
      </w:r>
      <w:proofErr w:type="spellStart"/>
      <w:r w:rsidRPr="005E7A93">
        <w:rPr>
          <w:rFonts w:ascii="Arial" w:hAnsi="Arial" w:cs="Arial"/>
          <w:b/>
        </w:rPr>
        <w:t>identifiables</w:t>
      </w:r>
      <w:proofErr w:type="spellEnd"/>
      <w:r w:rsidRPr="005E7A93">
        <w:rPr>
          <w:rFonts w:ascii="Arial" w:hAnsi="Arial" w:cs="Arial"/>
          <w:b/>
        </w:rPr>
        <w:t>) or FR with ref French Appendix 1.1, Chapter VI, Article 119, Book II of the Commercial Code, Article L-228.2,</w:t>
      </w:r>
    </w:p>
    <w:p w14:paraId="0F7183C8" w14:textId="47C823A1" w:rsidR="008B1CC2" w:rsidRPr="0029512D" w:rsidRDefault="005E7A93" w:rsidP="005E7A93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5E7A93">
        <w:rPr>
          <w:rFonts w:ascii="Arial" w:hAnsi="Arial" w:cs="Arial"/>
          <w:b/>
        </w:rPr>
        <w:t>"</w:t>
      </w:r>
      <w:r w:rsidR="00616424" w:rsidRPr="008C736D">
        <w:rPr>
          <w:rFonts w:ascii="Arial" w:hAnsi="Arial" w:cs="Arial"/>
        </w:rPr>
        <w:t>We ask</w:t>
      </w:r>
      <w:r w:rsidR="00065111" w:rsidRPr="008C736D">
        <w:rPr>
          <w:rFonts w:ascii="Arial" w:hAnsi="Arial" w:cs="Arial"/>
        </w:rPr>
        <w:t xml:space="preserve"> you pursuant </w:t>
      </w:r>
      <w:r w:rsidR="00616424" w:rsidRPr="008C736D">
        <w:rPr>
          <w:rFonts w:ascii="Arial" w:hAnsi="Arial" w:cs="Arial"/>
        </w:rPr>
        <w:t>the above Act to provide us with the details of yo</w:t>
      </w:r>
      <w:r w:rsidR="00391DD3" w:rsidRPr="008C736D">
        <w:rPr>
          <w:rFonts w:ascii="Arial" w:hAnsi="Arial" w:cs="Arial"/>
        </w:rPr>
        <w:t xml:space="preserve">ur </w:t>
      </w:r>
      <w:r w:rsidR="00391DD3" w:rsidRPr="008D1136">
        <w:rPr>
          <w:rFonts w:ascii="Arial" w:hAnsi="Arial" w:cs="Arial"/>
        </w:rPr>
        <w:t>interest in</w:t>
      </w:r>
      <w:r w:rsidR="008275EF" w:rsidRPr="008D1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Atos SE </w:t>
      </w:r>
      <w:r w:rsidR="00616424" w:rsidRPr="008C736D">
        <w:rPr>
          <w:rFonts w:ascii="Arial" w:hAnsi="Arial" w:cs="Arial"/>
        </w:rPr>
        <w:t>below:</w:t>
      </w:r>
    </w:p>
    <w:tbl>
      <w:tblPr>
        <w:tblW w:w="5045" w:type="pct"/>
        <w:tblLook w:val="04A0" w:firstRow="1" w:lastRow="0" w:firstColumn="1" w:lastColumn="0" w:noHBand="0" w:noVBand="1"/>
      </w:tblPr>
      <w:tblGrid>
        <w:gridCol w:w="2477"/>
        <w:gridCol w:w="1461"/>
        <w:gridCol w:w="1648"/>
        <w:gridCol w:w="1430"/>
        <w:gridCol w:w="2091"/>
      </w:tblGrid>
      <w:tr w:rsidR="005E7A93" w:rsidRPr="001865BD" w14:paraId="75B33756" w14:textId="77777777" w:rsidTr="001865BD">
        <w:trPr>
          <w:trHeight w:val="598"/>
        </w:trPr>
        <w:tc>
          <w:tcPr>
            <w:tcW w:w="1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5F010" w14:textId="123BE858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1180">
              <w:rPr>
                <w:rFonts w:ascii="Arial" w:hAnsi="Arial" w:cs="Arial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E3528" w14:textId="6FF87588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1180">
              <w:rPr>
                <w:rFonts w:ascii="Arial" w:hAnsi="Arial" w:cs="Arial"/>
                <w:b/>
                <w:bCs/>
                <w:sz w:val="18"/>
                <w:szCs w:val="18"/>
              </w:rPr>
              <w:t>Coupon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A2116" w14:textId="09BE3EDC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1180">
              <w:rPr>
                <w:rFonts w:ascii="Arial" w:hAnsi="Arial" w:cs="Arial"/>
                <w:b/>
                <w:bCs/>
                <w:sz w:val="18"/>
                <w:szCs w:val="18"/>
              </w:rPr>
              <w:t>Maturity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35DE" w14:textId="1E98C376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1180">
              <w:rPr>
                <w:rFonts w:ascii="Arial" w:hAnsi="Arial" w:cs="Arial"/>
                <w:b/>
                <w:bCs/>
                <w:sz w:val="18"/>
                <w:szCs w:val="18"/>
              </w:rPr>
              <w:t>Currency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33635" w14:textId="45243949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71180">
              <w:rPr>
                <w:rFonts w:ascii="Arial" w:hAnsi="Arial" w:cs="Arial"/>
                <w:b/>
                <w:bCs/>
                <w:sz w:val="18"/>
                <w:szCs w:val="18"/>
              </w:rPr>
              <w:t>Amount Outstanding</w:t>
            </w:r>
          </w:p>
        </w:tc>
      </w:tr>
      <w:tr w:rsidR="005E7A93" w:rsidRPr="001865BD" w14:paraId="5BD042BE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775EE543" w14:textId="06F9385A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E3DD4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FR0013378452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0176D9EF" w14:textId="158DFF3D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1.75%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479360CB" w14:textId="34485F2C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2025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7BF523B6" w14:textId="2BC7E490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  <w:hideMark/>
          </w:tcPr>
          <w:p w14:paraId="0667EBDD" w14:textId="22820017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750,000,000</w:t>
            </w:r>
          </w:p>
        </w:tc>
      </w:tr>
      <w:tr w:rsidR="005E7A93" w:rsidRPr="001865BD" w14:paraId="14228277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2FCE90A8" w14:textId="6C9F143D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FR0125601643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6BD768C" w14:textId="62004B57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1.13%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D79A176" w14:textId="6DB0F477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3E342C72" w14:textId="58980DEE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299DF90" w14:textId="352B8F0C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50,000,000</w:t>
            </w:r>
          </w:p>
        </w:tc>
      </w:tr>
      <w:tr w:rsidR="005E7A93" w:rsidRPr="001865BD" w14:paraId="66A86867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2A7CD264" w14:textId="3518E7F8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FR0013378460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1A01588" w14:textId="50E3E6AA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2.50%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4566B5A8" w14:textId="0810C5E2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053D12A" w14:textId="18825EAB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A8BF7A5" w14:textId="4C766277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350,000,000</w:t>
            </w:r>
          </w:p>
        </w:tc>
      </w:tr>
      <w:tr w:rsidR="005E7A93" w:rsidRPr="001865BD" w14:paraId="7651F140" w14:textId="77777777" w:rsidTr="001865BD">
        <w:trPr>
          <w:trHeight w:val="329"/>
        </w:trPr>
        <w:tc>
          <w:tcPr>
            <w:tcW w:w="1360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65BA342C" w14:textId="0E5CC1A8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FR0014006G24</w:t>
            </w:r>
          </w:p>
        </w:tc>
        <w:tc>
          <w:tcPr>
            <w:tcW w:w="802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33706662" w14:textId="59226280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1.00%</w:t>
            </w:r>
          </w:p>
        </w:tc>
        <w:tc>
          <w:tcPr>
            <w:tcW w:w="90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7A1494BD" w14:textId="328DBD8E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785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029B2062" w14:textId="5F725252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eastAsia="Calibri" w:hAnsi="Arial" w:cs="Arial"/>
                <w:iCs/>
                <w:sz w:val="16"/>
                <w:szCs w:val="16"/>
              </w:rPr>
              <w:t>EUR</w:t>
            </w:r>
          </w:p>
        </w:tc>
        <w:tc>
          <w:tcPr>
            <w:tcW w:w="1148" w:type="pct"/>
            <w:tcBorders>
              <w:top w:val="single" w:sz="4" w:space="0" w:color="666666" w:themeColor="text1" w:themeTint="99"/>
              <w:left w:val="nil"/>
              <w:bottom w:val="single" w:sz="4" w:space="0" w:color="666666" w:themeColor="text1" w:themeTint="99"/>
              <w:right w:val="nil"/>
            </w:tcBorders>
            <w:noWrap/>
            <w:vAlign w:val="center"/>
          </w:tcPr>
          <w:p w14:paraId="1435FDAF" w14:textId="36B0808A" w:rsidR="005E7A93" w:rsidRPr="001865BD" w:rsidRDefault="005E7A93" w:rsidP="00216B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3DD4">
              <w:rPr>
                <w:rFonts w:ascii="Arial" w:hAnsi="Arial" w:cs="Arial"/>
                <w:sz w:val="16"/>
                <w:szCs w:val="16"/>
              </w:rPr>
              <w:t>800,000,000</w:t>
            </w:r>
          </w:p>
        </w:tc>
      </w:tr>
    </w:tbl>
    <w:p w14:paraId="4A59F681" w14:textId="77777777" w:rsidR="00BB602B" w:rsidRDefault="00BB602B" w:rsidP="00216BF0">
      <w:pPr>
        <w:pStyle w:val="Body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BF7414" w14:textId="3B173F1D" w:rsidR="0029512D" w:rsidRDefault="005E7A93" w:rsidP="005E7A93"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Atos SE</w:t>
      </w:r>
      <w:r w:rsidR="001D5A78" w:rsidRPr="000E68B6">
        <w:rPr>
          <w:rFonts w:ascii="Arial" w:hAnsi="Arial" w:cs="Arial"/>
          <w:sz w:val="22"/>
          <w:szCs w:val="22"/>
        </w:rPr>
        <w:t xml:space="preserve"> has appointed D.F. King, an Orient Capital Company, as an Identification Agent to assist </w:t>
      </w:r>
      <w:r w:rsidRPr="001D5A78">
        <w:rPr>
          <w:rFonts w:ascii="Arial" w:hAnsi="Arial" w:cs="Arial"/>
          <w:sz w:val="22"/>
          <w:szCs w:val="22"/>
        </w:rPr>
        <w:t xml:space="preserve">with the identification of beneficial owners, in the </w:t>
      </w:r>
      <w:r w:rsidRPr="001268E0">
        <w:rPr>
          <w:rFonts w:ascii="Arial" w:hAnsi="Arial" w:cs="Arial"/>
          <w:sz w:val="22"/>
          <w:szCs w:val="22"/>
        </w:rPr>
        <w:t xml:space="preserve">context of the current ongoing efforts </w:t>
      </w:r>
      <w:r>
        <w:rPr>
          <w:rFonts w:ascii="Arial" w:hAnsi="Arial" w:cs="Arial"/>
          <w:sz w:val="22"/>
          <w:szCs w:val="22"/>
        </w:rPr>
        <w:t>for</w:t>
      </w:r>
      <w:r w:rsidRPr="001268E0">
        <w:rPr>
          <w:rFonts w:ascii="Arial" w:hAnsi="Arial" w:cs="Arial"/>
          <w:sz w:val="22"/>
          <w:szCs w:val="22"/>
        </w:rPr>
        <w:t xml:space="preserve"> </w:t>
      </w:r>
      <w:r w:rsidRPr="00994EA5">
        <w:rPr>
          <w:rFonts w:ascii="Arial" w:hAnsi="Arial" w:cs="Arial"/>
          <w:sz w:val="22"/>
          <w:szCs w:val="22"/>
        </w:rPr>
        <w:t>them compile a list of their bondholders, the information is vital for corporate communications with their bondholders</w:t>
      </w:r>
      <w:r w:rsidRPr="001268E0">
        <w:rPr>
          <w:rFonts w:ascii="Arial" w:hAnsi="Arial" w:cs="Arial"/>
          <w:sz w:val="22"/>
          <w:szCs w:val="22"/>
        </w:rPr>
        <w:t>.</w:t>
      </w:r>
      <w:r w:rsidRPr="001D5A78">
        <w:rPr>
          <w:rFonts w:ascii="Arial" w:hAnsi="Arial" w:cs="Arial"/>
          <w:sz w:val="22"/>
          <w:szCs w:val="22"/>
        </w:rPr>
        <w:t xml:space="preserve"> We request beneficial owners or investment managers to disclose their identity and holding to the Identification Agent</w:t>
      </w:r>
      <w:r>
        <w:rPr>
          <w:rFonts w:ascii="Arial" w:hAnsi="Arial" w:cs="Arial"/>
          <w:sz w:val="22"/>
          <w:szCs w:val="22"/>
        </w:rPr>
        <w:t>.</w:t>
      </w:r>
    </w:p>
    <w:p w14:paraId="05DD18FA" w14:textId="77777777" w:rsidR="005E7A93" w:rsidRDefault="005E7A93" w:rsidP="005E7A93">
      <w:pPr>
        <w:pStyle w:val="BodyText"/>
        <w:rPr>
          <w:rFonts w:ascii="Arial" w:hAnsi="Arial" w:cs="Arial"/>
          <w:sz w:val="22"/>
          <w:szCs w:val="22"/>
        </w:rPr>
      </w:pPr>
    </w:p>
    <w:p w14:paraId="6F86E29B" w14:textId="77777777" w:rsidR="00616424" w:rsidRPr="00391DD3" w:rsidRDefault="00616424" w:rsidP="00031C49">
      <w:pPr>
        <w:spacing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Any information provided is considered strictly non-public and confidential and will only ever be used by the company. It will not be entered into any public databases.</w:t>
      </w:r>
    </w:p>
    <w:p w14:paraId="24B03D49" w14:textId="77777777" w:rsidR="00F6648A" w:rsidRPr="00391DD3" w:rsidRDefault="00616424" w:rsidP="00031C49">
      <w:pPr>
        <w:spacing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If you are unable to process this request, please pass it to the relevant contact at your firm</w:t>
      </w:r>
      <w:r w:rsidR="006E3FAC">
        <w:rPr>
          <w:rFonts w:ascii="Arial" w:hAnsi="Arial" w:cs="Arial"/>
        </w:rPr>
        <w:t xml:space="preserve"> </w:t>
      </w:r>
      <w:r w:rsidRPr="00391DD3">
        <w:rPr>
          <w:rFonts w:ascii="Arial" w:hAnsi="Arial" w:cs="Arial"/>
        </w:rPr>
        <w:t>or advise us that you are unable to respond (details below).</w:t>
      </w:r>
    </w:p>
    <w:p w14:paraId="182BDF6E" w14:textId="6B84948B" w:rsidR="00F6648A" w:rsidRPr="004066B2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1DD3">
        <w:rPr>
          <w:rFonts w:ascii="Arial" w:hAnsi="Arial" w:cs="Arial"/>
        </w:rPr>
        <w:t xml:space="preserve">Please address all replies and queries </w:t>
      </w:r>
      <w:r w:rsidR="004B3A3F">
        <w:rPr>
          <w:rFonts w:ascii="Arial" w:hAnsi="Arial" w:cs="Arial"/>
        </w:rPr>
        <w:t>to</w:t>
      </w:r>
      <w:r w:rsidR="00576FED">
        <w:rPr>
          <w:rFonts w:ascii="Arial" w:hAnsi="Arial" w:cs="Arial"/>
        </w:rPr>
        <w:t xml:space="preserve"> </w:t>
      </w:r>
      <w:hyperlink r:id="rId8" w:history="1">
        <w:r w:rsidR="004B3A3F" w:rsidRPr="00C60B8D">
          <w:rPr>
            <w:rStyle w:val="Hyperlink"/>
            <w:rFonts w:ascii="Arial" w:hAnsi="Arial" w:cs="Arial"/>
          </w:rPr>
          <w:t>BondID@orientcap.com</w:t>
        </w:r>
      </w:hyperlink>
      <w:r w:rsidR="00287CC1">
        <w:rPr>
          <w:rFonts w:ascii="Arial" w:hAnsi="Arial" w:cs="Arial"/>
        </w:rPr>
        <w:t>.</w:t>
      </w:r>
      <w:r w:rsidRPr="004066B2">
        <w:rPr>
          <w:rFonts w:ascii="Arial" w:hAnsi="Arial" w:cs="Arial"/>
          <w:sz w:val="20"/>
          <w:szCs w:val="20"/>
        </w:rPr>
        <w:tab/>
      </w:r>
      <w:r w:rsidRPr="004066B2">
        <w:rPr>
          <w:rFonts w:ascii="Arial" w:hAnsi="Arial" w:cs="Arial"/>
          <w:sz w:val="20"/>
          <w:szCs w:val="20"/>
        </w:rPr>
        <w:tab/>
      </w:r>
    </w:p>
    <w:p w14:paraId="6627447E" w14:textId="77777777" w:rsidR="00F6648A" w:rsidRPr="004066B2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7B8532" w14:textId="77777777" w:rsidR="00F6648A" w:rsidRPr="00D6587F" w:rsidRDefault="00391DD3" w:rsidP="00031C4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6587F">
        <w:rPr>
          <w:rFonts w:ascii="Arial" w:hAnsi="Arial" w:cs="Arial"/>
          <w:color w:val="00000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  <w:r w:rsidR="0083782D" w:rsidRPr="00D6587F">
        <w:rPr>
          <w:rFonts w:ascii="Arial" w:hAnsi="Arial" w:cs="Arial"/>
          <w:color w:val="000000"/>
          <w:sz w:val="20"/>
          <w:szCs w:val="20"/>
        </w:rPr>
        <w:tab/>
      </w:r>
    </w:p>
    <w:p w14:paraId="1CB1867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 xml:space="preserve">Note – responding to this request will </w:t>
      </w:r>
      <w:r w:rsidRPr="003C2CBA">
        <w:rPr>
          <w:rFonts w:ascii="Arial" w:hAnsi="Arial" w:cs="Arial"/>
          <w:b/>
          <w:bCs/>
        </w:rPr>
        <w:t>not</w:t>
      </w:r>
      <w:r w:rsidRPr="00391DD3">
        <w:rPr>
          <w:rFonts w:ascii="Arial" w:hAnsi="Arial" w:cs="Arial"/>
        </w:rPr>
        <w:t xml:space="preserve"> result in any blocking of your securities.</w:t>
      </w:r>
    </w:p>
    <w:p w14:paraId="618038A7" w14:textId="77777777" w:rsidR="00F6648A" w:rsidRPr="00391DD3" w:rsidRDefault="00F6648A" w:rsidP="00031C49">
      <w:pPr>
        <w:spacing w:after="0" w:line="240" w:lineRule="auto"/>
        <w:rPr>
          <w:rFonts w:ascii="Arial" w:hAnsi="Arial" w:cs="Arial"/>
        </w:rPr>
      </w:pPr>
    </w:p>
    <w:p w14:paraId="0F0A4C11" w14:textId="77777777" w:rsidR="00F6648A" w:rsidRDefault="00F6648A" w:rsidP="00031C49">
      <w:pPr>
        <w:spacing w:after="0" w:line="240" w:lineRule="auto"/>
        <w:rPr>
          <w:rFonts w:ascii="Arial" w:hAnsi="Arial" w:cs="Arial"/>
        </w:rPr>
      </w:pPr>
      <w:r w:rsidRPr="00391DD3">
        <w:rPr>
          <w:rFonts w:ascii="Arial" w:hAnsi="Arial" w:cs="Arial"/>
        </w:rPr>
        <w:t>You</w:t>
      </w:r>
      <w:r w:rsidR="005F4FA0">
        <w:rPr>
          <w:rFonts w:ascii="Arial" w:hAnsi="Arial" w:cs="Arial"/>
        </w:rPr>
        <w:t>rs faithfully,</w:t>
      </w:r>
    </w:p>
    <w:p w14:paraId="1914E326" w14:textId="5C4DF67D" w:rsidR="009679FD" w:rsidRPr="005F4FA0" w:rsidRDefault="00DA21C5" w:rsidP="00031C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16E1541" wp14:editId="4A4BE2F0">
            <wp:extent cx="12700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DA68" w14:textId="77777777" w:rsidR="009679FD" w:rsidRDefault="009679FD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79FD">
        <w:rPr>
          <w:rFonts w:ascii="Arial" w:hAnsi="Arial" w:cs="Arial"/>
          <w:sz w:val="20"/>
          <w:szCs w:val="20"/>
        </w:rPr>
        <w:t>Katerina Papamichael</w:t>
      </w:r>
    </w:p>
    <w:p w14:paraId="2579AB10" w14:textId="77777777" w:rsidR="00F6648A" w:rsidRDefault="00F6648A" w:rsidP="00031C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066B2">
        <w:rPr>
          <w:rFonts w:ascii="Arial" w:hAnsi="Arial" w:cs="Arial"/>
          <w:sz w:val="20"/>
          <w:szCs w:val="20"/>
        </w:rPr>
        <w:t>Agent for the company</w:t>
      </w:r>
    </w:p>
    <w:p w14:paraId="47A45223" w14:textId="77777777" w:rsidR="00616424" w:rsidRPr="00616424" w:rsidRDefault="00616424" w:rsidP="00031C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FF3F1" w14:textId="77777777" w:rsidR="00E14272" w:rsidRPr="00AB2A57" w:rsidRDefault="00F6648A" w:rsidP="00031C49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066B2">
        <w:rPr>
          <w:rFonts w:ascii="Arial" w:hAnsi="Arial" w:cs="Arial"/>
          <w:b/>
          <w:sz w:val="16"/>
          <w:szCs w:val="16"/>
          <w:u w:val="single"/>
        </w:rPr>
        <w:t>(See attached letter of authority)</w:t>
      </w:r>
      <w:r w:rsidR="00287CC1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sectPr w:rsidR="00E14272" w:rsidRPr="00AB2A57" w:rsidSect="008D1136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F3" w14:textId="77777777" w:rsidR="00177AEC" w:rsidRDefault="00177AEC" w:rsidP="004F7A01">
      <w:pPr>
        <w:spacing w:after="0" w:line="240" w:lineRule="auto"/>
      </w:pPr>
      <w:r>
        <w:separator/>
      </w:r>
    </w:p>
  </w:endnote>
  <w:endnote w:type="continuationSeparator" w:id="0">
    <w:p w14:paraId="1A9E50D4" w14:textId="77777777" w:rsidR="00177AEC" w:rsidRDefault="00177AEC" w:rsidP="004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3B00" w14:textId="77777777" w:rsidR="00177AEC" w:rsidRDefault="00177AEC" w:rsidP="004F7A01">
      <w:pPr>
        <w:spacing w:after="0" w:line="240" w:lineRule="auto"/>
      </w:pPr>
      <w:r>
        <w:separator/>
      </w:r>
    </w:p>
  </w:footnote>
  <w:footnote w:type="continuationSeparator" w:id="0">
    <w:p w14:paraId="67D6943B" w14:textId="77777777" w:rsidR="00177AEC" w:rsidRDefault="00177AEC" w:rsidP="004F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74"/>
      <w:gridCol w:w="4452"/>
    </w:tblGrid>
    <w:tr w:rsidR="007804BF" w14:paraId="367058A2" w14:textId="77777777" w:rsidTr="00011AF4">
      <w:tc>
        <w:tcPr>
          <w:tcW w:w="4916" w:type="dxa"/>
          <w:shd w:val="clear" w:color="auto" w:fill="auto"/>
        </w:tcPr>
        <w:p w14:paraId="0CECAA82" w14:textId="19ACDD47" w:rsidR="007804BF" w:rsidRDefault="00DA21C5" w:rsidP="007804BF">
          <w:pPr>
            <w:pStyle w:val="Head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05B141C" wp14:editId="46D2A265">
                <wp:extent cx="1485900" cy="977900"/>
                <wp:effectExtent l="0" t="0" r="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7" w:type="dxa"/>
          <w:shd w:val="clear" w:color="auto" w:fill="auto"/>
        </w:tcPr>
        <w:p w14:paraId="6E55ED7A" w14:textId="77777777" w:rsidR="00C96DC7" w:rsidRDefault="00C96DC7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C96DC7">
            <w:rPr>
              <w:rFonts w:cs="Arial"/>
              <w:sz w:val="18"/>
              <w:szCs w:val="18"/>
            </w:rPr>
            <w:t xml:space="preserve">65 Gresham Street </w:t>
          </w:r>
        </w:p>
        <w:p w14:paraId="7184609F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London EC2V 7NQ</w:t>
          </w:r>
        </w:p>
        <w:p w14:paraId="7E7BA4FA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Tel. +44 20 77 76 75 74</w:t>
          </w:r>
        </w:p>
        <w:p w14:paraId="6874F657" w14:textId="77777777" w:rsidR="0038363A" w:rsidRPr="0038363A" w:rsidRDefault="0038363A" w:rsidP="0038363A">
          <w:pPr>
            <w:pStyle w:val="Header"/>
            <w:jc w:val="right"/>
            <w:rPr>
              <w:rFonts w:cs="Arial"/>
              <w:sz w:val="18"/>
              <w:szCs w:val="18"/>
            </w:rPr>
          </w:pPr>
          <w:r w:rsidRPr="0038363A">
            <w:rPr>
              <w:rFonts w:cs="Arial"/>
              <w:sz w:val="18"/>
              <w:szCs w:val="18"/>
            </w:rPr>
            <w:t>www.orientcap.com</w:t>
          </w:r>
        </w:p>
        <w:p w14:paraId="6A1B5A9E" w14:textId="77777777" w:rsidR="007804BF" w:rsidRDefault="007804BF" w:rsidP="007804BF">
          <w:pPr>
            <w:pStyle w:val="Header"/>
            <w:rPr>
              <w:noProof/>
              <w:lang w:eastAsia="en-GB"/>
            </w:rPr>
          </w:pPr>
        </w:p>
      </w:tc>
    </w:tr>
  </w:tbl>
  <w:p w14:paraId="0F0514A6" w14:textId="77777777" w:rsidR="007804BF" w:rsidRPr="004B34F1" w:rsidRDefault="007804BF" w:rsidP="00582969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1E9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21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62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1C8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2842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EB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E3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658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25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6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EB22D9"/>
    <w:multiLevelType w:val="hybridMultilevel"/>
    <w:tmpl w:val="FE860276"/>
    <w:lvl w:ilvl="0" w:tplc="62E6AA8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6110">
    <w:abstractNumId w:val="9"/>
  </w:num>
  <w:num w:numId="2" w16cid:durableId="246812773">
    <w:abstractNumId w:val="7"/>
  </w:num>
  <w:num w:numId="3" w16cid:durableId="394356122">
    <w:abstractNumId w:val="6"/>
  </w:num>
  <w:num w:numId="4" w16cid:durableId="605229941">
    <w:abstractNumId w:val="5"/>
  </w:num>
  <w:num w:numId="5" w16cid:durableId="707294190">
    <w:abstractNumId w:val="4"/>
  </w:num>
  <w:num w:numId="6" w16cid:durableId="1072393199">
    <w:abstractNumId w:val="8"/>
  </w:num>
  <w:num w:numId="7" w16cid:durableId="1859082410">
    <w:abstractNumId w:val="3"/>
  </w:num>
  <w:num w:numId="8" w16cid:durableId="742223385">
    <w:abstractNumId w:val="2"/>
  </w:num>
  <w:num w:numId="9" w16cid:durableId="1965454699">
    <w:abstractNumId w:val="1"/>
  </w:num>
  <w:num w:numId="10" w16cid:durableId="1296137846">
    <w:abstractNumId w:val="0"/>
  </w:num>
  <w:num w:numId="11" w16cid:durableId="1684941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205C28"/>
    <w:rsid w:val="00003E19"/>
    <w:rsid w:val="00004331"/>
    <w:rsid w:val="00005689"/>
    <w:rsid w:val="00011AF4"/>
    <w:rsid w:val="00031C49"/>
    <w:rsid w:val="000327CE"/>
    <w:rsid w:val="000460C0"/>
    <w:rsid w:val="00064547"/>
    <w:rsid w:val="00065111"/>
    <w:rsid w:val="00066F5D"/>
    <w:rsid w:val="000722D1"/>
    <w:rsid w:val="00074708"/>
    <w:rsid w:val="000811F8"/>
    <w:rsid w:val="000934C3"/>
    <w:rsid w:val="000967DA"/>
    <w:rsid w:val="000B2D63"/>
    <w:rsid w:val="000D7982"/>
    <w:rsid w:val="000D7FA0"/>
    <w:rsid w:val="000E68B6"/>
    <w:rsid w:val="00107B7E"/>
    <w:rsid w:val="00110C55"/>
    <w:rsid w:val="00113D0E"/>
    <w:rsid w:val="001142AC"/>
    <w:rsid w:val="001268E0"/>
    <w:rsid w:val="0013595D"/>
    <w:rsid w:val="00135BE6"/>
    <w:rsid w:val="00145953"/>
    <w:rsid w:val="00146196"/>
    <w:rsid w:val="00150867"/>
    <w:rsid w:val="001544AC"/>
    <w:rsid w:val="00175611"/>
    <w:rsid w:val="00177AEC"/>
    <w:rsid w:val="001865BD"/>
    <w:rsid w:val="001A75DB"/>
    <w:rsid w:val="001D5A78"/>
    <w:rsid w:val="001E2D7D"/>
    <w:rsid w:val="001F05EF"/>
    <w:rsid w:val="00205C28"/>
    <w:rsid w:val="00216BF0"/>
    <w:rsid w:val="00257CD5"/>
    <w:rsid w:val="0028692D"/>
    <w:rsid w:val="00287B92"/>
    <w:rsid w:val="00287CC1"/>
    <w:rsid w:val="00291684"/>
    <w:rsid w:val="0029512D"/>
    <w:rsid w:val="002E5BA1"/>
    <w:rsid w:val="002F4390"/>
    <w:rsid w:val="002F4B25"/>
    <w:rsid w:val="00302BE5"/>
    <w:rsid w:val="0032140A"/>
    <w:rsid w:val="00321E02"/>
    <w:rsid w:val="003258D7"/>
    <w:rsid w:val="00350483"/>
    <w:rsid w:val="00375615"/>
    <w:rsid w:val="0038363A"/>
    <w:rsid w:val="00391DD3"/>
    <w:rsid w:val="0039285A"/>
    <w:rsid w:val="003972CB"/>
    <w:rsid w:val="003A3AA5"/>
    <w:rsid w:val="003B2C86"/>
    <w:rsid w:val="003C28A4"/>
    <w:rsid w:val="003C2CBA"/>
    <w:rsid w:val="003C4725"/>
    <w:rsid w:val="003D25FF"/>
    <w:rsid w:val="003F0016"/>
    <w:rsid w:val="003F1904"/>
    <w:rsid w:val="0040144F"/>
    <w:rsid w:val="004659F6"/>
    <w:rsid w:val="00485548"/>
    <w:rsid w:val="00487E12"/>
    <w:rsid w:val="00495D72"/>
    <w:rsid w:val="004B2D47"/>
    <w:rsid w:val="004B34F1"/>
    <w:rsid w:val="004B3A3F"/>
    <w:rsid w:val="004B483E"/>
    <w:rsid w:val="004C276E"/>
    <w:rsid w:val="004E67ED"/>
    <w:rsid w:val="004F7A01"/>
    <w:rsid w:val="00551A93"/>
    <w:rsid w:val="00557E1D"/>
    <w:rsid w:val="005603E4"/>
    <w:rsid w:val="00564EA5"/>
    <w:rsid w:val="0057189D"/>
    <w:rsid w:val="00576FED"/>
    <w:rsid w:val="00582969"/>
    <w:rsid w:val="0059175C"/>
    <w:rsid w:val="005960B8"/>
    <w:rsid w:val="005A541C"/>
    <w:rsid w:val="005B0757"/>
    <w:rsid w:val="005B43F4"/>
    <w:rsid w:val="005D47EA"/>
    <w:rsid w:val="005D4AFF"/>
    <w:rsid w:val="005E117B"/>
    <w:rsid w:val="005E7A93"/>
    <w:rsid w:val="005F0E2C"/>
    <w:rsid w:val="005F162C"/>
    <w:rsid w:val="005F4FA0"/>
    <w:rsid w:val="00604089"/>
    <w:rsid w:val="00605997"/>
    <w:rsid w:val="00606ABB"/>
    <w:rsid w:val="00616424"/>
    <w:rsid w:val="006468CE"/>
    <w:rsid w:val="00662581"/>
    <w:rsid w:val="00674E53"/>
    <w:rsid w:val="00696092"/>
    <w:rsid w:val="006A40FD"/>
    <w:rsid w:val="006A6130"/>
    <w:rsid w:val="006E392F"/>
    <w:rsid w:val="006E3FAC"/>
    <w:rsid w:val="006E5125"/>
    <w:rsid w:val="00703E32"/>
    <w:rsid w:val="00703FE7"/>
    <w:rsid w:val="00714A69"/>
    <w:rsid w:val="007520A6"/>
    <w:rsid w:val="007804BF"/>
    <w:rsid w:val="007F7E00"/>
    <w:rsid w:val="008076ED"/>
    <w:rsid w:val="008139A3"/>
    <w:rsid w:val="008152CE"/>
    <w:rsid w:val="00816CDC"/>
    <w:rsid w:val="00817BD7"/>
    <w:rsid w:val="008275EF"/>
    <w:rsid w:val="0083782D"/>
    <w:rsid w:val="00840CA5"/>
    <w:rsid w:val="00854CF0"/>
    <w:rsid w:val="008724D5"/>
    <w:rsid w:val="0087603E"/>
    <w:rsid w:val="00877448"/>
    <w:rsid w:val="008860FA"/>
    <w:rsid w:val="008B1CC2"/>
    <w:rsid w:val="008C736D"/>
    <w:rsid w:val="008D1136"/>
    <w:rsid w:val="008F1B5A"/>
    <w:rsid w:val="00927898"/>
    <w:rsid w:val="009336E9"/>
    <w:rsid w:val="009679FD"/>
    <w:rsid w:val="00973EF9"/>
    <w:rsid w:val="009878E4"/>
    <w:rsid w:val="009D6C5E"/>
    <w:rsid w:val="009F1F95"/>
    <w:rsid w:val="009F4BEF"/>
    <w:rsid w:val="009F52C3"/>
    <w:rsid w:val="00A03ECC"/>
    <w:rsid w:val="00A04B4D"/>
    <w:rsid w:val="00A11FD6"/>
    <w:rsid w:val="00A4332A"/>
    <w:rsid w:val="00A76036"/>
    <w:rsid w:val="00A80644"/>
    <w:rsid w:val="00AB2A57"/>
    <w:rsid w:val="00AC3386"/>
    <w:rsid w:val="00AF38DC"/>
    <w:rsid w:val="00AF6674"/>
    <w:rsid w:val="00B03678"/>
    <w:rsid w:val="00B14E01"/>
    <w:rsid w:val="00B14FEA"/>
    <w:rsid w:val="00B5319E"/>
    <w:rsid w:val="00B624D4"/>
    <w:rsid w:val="00B649B4"/>
    <w:rsid w:val="00B70AD0"/>
    <w:rsid w:val="00BB602B"/>
    <w:rsid w:val="00BD07FE"/>
    <w:rsid w:val="00BE10C6"/>
    <w:rsid w:val="00BE1BCB"/>
    <w:rsid w:val="00C118DB"/>
    <w:rsid w:val="00C13096"/>
    <w:rsid w:val="00C6450F"/>
    <w:rsid w:val="00C96DC7"/>
    <w:rsid w:val="00C97CCA"/>
    <w:rsid w:val="00CB7D18"/>
    <w:rsid w:val="00CE018C"/>
    <w:rsid w:val="00CF2C47"/>
    <w:rsid w:val="00D00B8B"/>
    <w:rsid w:val="00D010FB"/>
    <w:rsid w:val="00D14865"/>
    <w:rsid w:val="00D21E19"/>
    <w:rsid w:val="00D36AB2"/>
    <w:rsid w:val="00D51624"/>
    <w:rsid w:val="00D6587F"/>
    <w:rsid w:val="00D7559E"/>
    <w:rsid w:val="00D84DBE"/>
    <w:rsid w:val="00D92892"/>
    <w:rsid w:val="00DA21C5"/>
    <w:rsid w:val="00DB1735"/>
    <w:rsid w:val="00E017FC"/>
    <w:rsid w:val="00E02B88"/>
    <w:rsid w:val="00E14272"/>
    <w:rsid w:val="00E61DA2"/>
    <w:rsid w:val="00E7771A"/>
    <w:rsid w:val="00EC0B50"/>
    <w:rsid w:val="00EC23B1"/>
    <w:rsid w:val="00EC321C"/>
    <w:rsid w:val="00EF220C"/>
    <w:rsid w:val="00F02FB6"/>
    <w:rsid w:val="00F12C61"/>
    <w:rsid w:val="00F26F4E"/>
    <w:rsid w:val="00F4646D"/>
    <w:rsid w:val="00F6648A"/>
    <w:rsid w:val="00F819FF"/>
    <w:rsid w:val="00F85931"/>
    <w:rsid w:val="00F90714"/>
    <w:rsid w:val="00FB3A24"/>
    <w:rsid w:val="00FE0D25"/>
    <w:rsid w:val="00FE1D11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C6EC"/>
  <w15:chartTrackingRefBased/>
  <w15:docId w15:val="{9FB399DB-46FA-4682-960A-E45B38CD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6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7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4F7A01"/>
    <w:rPr>
      <w:rFonts w:cs="Times New Roman"/>
    </w:rPr>
  </w:style>
  <w:style w:type="paragraph" w:styleId="Footer">
    <w:name w:val="footer"/>
    <w:basedOn w:val="Normal"/>
    <w:link w:val="FooterChar"/>
    <w:rsid w:val="004F7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4F7A0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F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F7A01"/>
    <w:rPr>
      <w:rFonts w:ascii="Tahoma" w:hAnsi="Tahoma" w:cs="Tahoma"/>
      <w:sz w:val="16"/>
      <w:szCs w:val="16"/>
    </w:rPr>
  </w:style>
  <w:style w:type="character" w:styleId="Hyperlink">
    <w:name w:val="Hyperlink"/>
    <w:rsid w:val="00F6648A"/>
    <w:rPr>
      <w:color w:val="0000FF"/>
      <w:u w:val="single"/>
    </w:rPr>
  </w:style>
  <w:style w:type="paragraph" w:styleId="BodyText">
    <w:name w:val="Body Text"/>
    <w:basedOn w:val="Normal"/>
    <w:link w:val="BodyTextChar"/>
    <w:rsid w:val="00F6648A"/>
    <w:pPr>
      <w:spacing w:after="0" w:line="240" w:lineRule="auto"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locked/>
    <w:rsid w:val="0078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B1CC2"/>
    <w:rPr>
      <w:rFonts w:ascii="Times New Roman" w:eastAsia="Times New Roman" w:hAnsi="Times New Roman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287CC1"/>
    <w:rPr>
      <w:color w:val="605E5C"/>
      <w:shd w:val="clear" w:color="auto" w:fill="E1DFDD"/>
    </w:rPr>
  </w:style>
  <w:style w:type="table" w:styleId="ListTable2">
    <w:name w:val="List Table 2"/>
    <w:basedOn w:val="TableNormal"/>
    <w:uiPriority w:val="47"/>
    <w:rsid w:val="008D1136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ID@orientcap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oliver\LOCALS~1\Temp\Temporary%20Directory%202%20for%20Letterheads.zip\KWW%20IR%20letterhead%20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13EE1-E717-43BA-8E91-38E4CC837C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B69C35-4977-4A5E-BB4C-4362CAD027EC}"/>
</file>

<file path=customXml/itemProps3.xml><?xml version="1.0" encoding="utf-8"?>
<ds:datastoreItem xmlns:ds="http://schemas.openxmlformats.org/officeDocument/2006/customXml" ds:itemID="{1D81E4F7-8A70-4D57-A2A5-F6EF098F6D93}"/>
</file>

<file path=customXml/itemProps4.xml><?xml version="1.0" encoding="utf-8"?>
<ds:datastoreItem xmlns:ds="http://schemas.openxmlformats.org/officeDocument/2006/customXml" ds:itemID="{F0E5331C-BF8A-4917-9242-5D1007203C5F}"/>
</file>

<file path=docProps/app.xml><?xml version="1.0" encoding="utf-8"?>
<Properties xmlns="http://schemas.openxmlformats.org/officeDocument/2006/extended-properties" xmlns:vt="http://schemas.openxmlformats.org/officeDocument/2006/docPropsVTypes">
  <Template>KWW IR letterhead EU.dotx</Template>
  <TotalTime>130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Bondholder Information Request</vt:lpstr>
    </vt:vector>
  </TitlesOfParts>
  <Company>Hewlett-Packard Company</Company>
  <LinksUpToDate>false</LinksUpToDate>
  <CharactersWithSpaces>1667</CharactersWithSpaces>
  <SharedDoc>false</SharedDoc>
  <HLinks>
    <vt:vector size="6" baseType="variant">
      <vt:variant>
        <vt:i4>262205</vt:i4>
      </vt:variant>
      <vt:variant>
        <vt:i4>0</vt:i4>
      </vt:variant>
      <vt:variant>
        <vt:i4>0</vt:i4>
      </vt:variant>
      <vt:variant>
        <vt:i4>5</vt:i4>
      </vt:variant>
      <vt:variant>
        <vt:lpwstr>mailto:BondID@orientcap.com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Bondholder Information Request</dc:title>
  <dc:subject/>
  <dc:creator>Audra Oliver</dc:creator>
  <cp:keywords/>
  <cp:lastModifiedBy>Menil Savla</cp:lastModifiedBy>
  <cp:revision>18</cp:revision>
  <cp:lastPrinted>2013-01-16T11:58:00Z</cp:lastPrinted>
  <dcterms:created xsi:type="dcterms:W3CDTF">2023-09-15T15:37:00Z</dcterms:created>
  <dcterms:modified xsi:type="dcterms:W3CDTF">2024-01-24T15:13:00Z</dcterms:modified>
</cp:coreProperties>
</file>