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C02" w:rsidRDefault="00953C02" w:rsidP="00953C02">
      <w:pPr>
        <w:rPr>
          <w:rFonts w:ascii="DIN-Regular" w:hAnsi="DIN-Regular"/>
        </w:rPr>
      </w:pPr>
      <w:bookmarkStart w:id="0" w:name="_GoBack"/>
      <w:bookmarkEnd w:id="0"/>
    </w:p>
    <w:p w:rsidR="00953C02" w:rsidRDefault="00953C02" w:rsidP="00953C02">
      <w:pPr>
        <w:rPr>
          <w:rFonts w:ascii="DIN-Regular" w:hAnsi="DIN-Regular"/>
        </w:rPr>
      </w:pPr>
      <w:r>
        <w:rPr>
          <w:rFonts w:ascii="DIN-Regular" w:hAnsi="DIN-Regular"/>
        </w:rPr>
        <w:t xml:space="preserve">Only minimum details are requested when the BO has already an issuer ID; otherwise full details are expected when new BO needs to be declared. </w:t>
      </w:r>
    </w:p>
    <w:p w:rsidR="00953C02" w:rsidRDefault="00953C02" w:rsidP="00953C02">
      <w:pPr>
        <w:rPr>
          <w:rFonts w:ascii="DIN-Regular" w:hAnsi="DIN-Regular"/>
        </w:rPr>
      </w:pPr>
      <w:r>
        <w:rPr>
          <w:rFonts w:ascii="DIN-Regular" w:hAnsi="DIN-Regular"/>
          <w:b/>
          <w:bCs/>
          <w:u w:val="single"/>
        </w:rPr>
        <w:t xml:space="preserve">Recommended format to instruct registration details: </w:t>
      </w:r>
    </w:p>
    <w:p w:rsidR="00953C02" w:rsidRDefault="00953C02" w:rsidP="00953C02">
      <w:pPr>
        <w:rPr>
          <w:rFonts w:ascii="DIN-Regular" w:hAnsi="DIN-Regular"/>
        </w:rPr>
      </w:pPr>
      <w:r>
        <w:rPr>
          <w:rFonts w:ascii="DIN-Regular" w:hAnsi="DIN-Regular"/>
        </w:rPr>
        <w:t>One slash should be entered to start the input of details. Then a space needs to be included between the qualifier (e.g. HTYP) and the information required, then a slash immediately after the information. This must be repeated until all elements pertinent to the registration are input.</w:t>
      </w:r>
    </w:p>
    <w:p w:rsidR="00953C02" w:rsidRDefault="00953C02" w:rsidP="00953C02">
      <w:pPr>
        <w:rPr>
          <w:rFonts w:ascii="DIN-Regular" w:hAnsi="DIN-Regular"/>
        </w:rPr>
      </w:pPr>
      <w:r>
        <w:rPr>
          <w:rFonts w:ascii="DIN-Regular" w:hAnsi="DIN-Regular"/>
          <w:b/>
          <w:bCs/>
        </w:rPr>
        <w:t xml:space="preserve">The last element of the registration details must </w:t>
      </w:r>
      <w:r w:rsidRPr="004E17B3">
        <w:rPr>
          <w:rFonts w:ascii="DIN-Regular" w:hAnsi="DIN-Regular"/>
          <w:b/>
          <w:bCs/>
          <w:color w:val="FF0000"/>
          <w:u w:val="single"/>
        </w:rPr>
        <w:t>not</w:t>
      </w:r>
      <w:r>
        <w:rPr>
          <w:rFonts w:ascii="DIN-Regular" w:hAnsi="DIN-Regular"/>
          <w:b/>
          <w:bCs/>
        </w:rPr>
        <w:t xml:space="preserve"> finish with a slash.</w:t>
      </w:r>
    </w:p>
    <w:p w:rsidR="00953C02" w:rsidRDefault="00953C02" w:rsidP="00953C02">
      <w:pPr>
        <w:rPr>
          <w:rFonts w:ascii="DIN-Regular" w:hAnsi="DIN-Regular"/>
        </w:rPr>
      </w:pPr>
      <w:r>
        <w:rPr>
          <w:rFonts w:ascii="DIN-Regular" w:hAnsi="DIN-Regular"/>
          <w:u w:val="single"/>
        </w:rPr>
        <w:t>Examples:</w:t>
      </w:r>
    </w:p>
    <w:p w:rsidR="00953C02" w:rsidRDefault="00953C02" w:rsidP="00953C02">
      <w:pPr>
        <w:rPr>
          <w:rFonts w:ascii="DIN-Regular" w:hAnsi="DIN-Regular"/>
        </w:rPr>
      </w:pPr>
      <w:r>
        <w:rPr>
          <w:rFonts w:ascii="DIN-Regular" w:hAnsi="DIN-Regular"/>
        </w:rPr>
        <w:t>Via MT565:</w:t>
      </w:r>
    </w:p>
    <w:p w:rsidR="00953C02" w:rsidRDefault="00953C02" w:rsidP="00953C02">
      <w:pPr>
        <w:rPr>
          <w:rFonts w:ascii="DIN-Regular" w:hAnsi="DIN-Regular"/>
        </w:rPr>
      </w:pPr>
      <w:r>
        <w:rPr>
          <w:rFonts w:ascii="DIN-Regular" w:hAnsi="DIN-Regular"/>
          <w:b/>
          <w:bCs/>
        </w:rPr>
        <w:t>:70E::REGI///HTYP 03/NAME Smith/FNAM John/</w:t>
      </w:r>
      <w:r>
        <w:rPr>
          <w:rFonts w:ascii="DIN-Regular" w:hAnsi="DIN-Regular"/>
          <w:b/>
          <w:bCs/>
          <w:color w:val="FF0000"/>
        </w:rPr>
        <w:t>NACO DEU/</w:t>
      </w:r>
      <w:r>
        <w:rPr>
          <w:rFonts w:ascii="DIN-Regular" w:hAnsi="DIN-Regular"/>
          <w:b/>
          <w:bCs/>
        </w:rPr>
        <w:t>CDCO DEU/STRE Flower street 61/CDPO 65760/CITY Eschborn</w:t>
      </w:r>
    </w:p>
    <w:p w:rsidR="00953C02" w:rsidRDefault="00953C02" w:rsidP="00953C02">
      <w:pPr>
        <w:rPr>
          <w:rFonts w:ascii="DIN-Regular" w:hAnsi="DIN-Regular"/>
        </w:rPr>
      </w:pPr>
    </w:p>
    <w:p w:rsidR="00953C02" w:rsidRDefault="00953C02" w:rsidP="00953C02">
      <w:pPr>
        <w:rPr>
          <w:rFonts w:ascii="DIN-Regular" w:hAnsi="DIN-Regular"/>
        </w:rPr>
      </w:pPr>
      <w:r>
        <w:rPr>
          <w:rFonts w:ascii="DIN-Regular" w:hAnsi="DIN-Regular"/>
        </w:rPr>
        <w:t>CB strongly recommends to provide minimum registration details whenever possible as this reduces the risk of error when inputting the BO details, and it also allows to provide registration details identified as complex.</w:t>
      </w:r>
    </w:p>
    <w:p w:rsidR="00953C02" w:rsidRDefault="00953C02" w:rsidP="00953C02">
      <w:pPr>
        <w:rPr>
          <w:rFonts w:ascii="DIN-Regular" w:hAnsi="DIN-Regular"/>
        </w:rPr>
      </w:pPr>
      <w:r>
        <w:rPr>
          <w:rFonts w:ascii="DIN-Regular" w:hAnsi="DIN-Regular"/>
          <w:b/>
          <w:bCs/>
        </w:rPr>
        <w:t>70E::REGI///HTYP 03/NAME Smith/FNAM John/ICER 13090</w:t>
      </w:r>
    </w:p>
    <w:p w:rsidR="00953C02" w:rsidRDefault="00953C02" w:rsidP="00953C02">
      <w:pPr>
        <w:rPr>
          <w:rFonts w:ascii="DIN-Regular" w:hAnsi="DIN-Regular"/>
        </w:rPr>
      </w:pPr>
      <w:r>
        <w:rPr>
          <w:rFonts w:ascii="DIN-Regular" w:hAnsi="DIN-Regular"/>
        </w:rPr>
        <w:t xml:space="preserve">Errors may result in Clearstream Banking delaying the issue of the "Bordereau de reference nominative" (BRN) on the market. </w:t>
      </w:r>
    </w:p>
    <w:p w:rsidR="00953C02" w:rsidRDefault="00953C02" w:rsidP="00953C02">
      <w:pPr>
        <w:rPr>
          <w:rFonts w:ascii="DIN-Regular" w:hAnsi="DIN-Regular"/>
        </w:rPr>
      </w:pPr>
    </w:p>
    <w:p w:rsidR="00953C02" w:rsidRDefault="00953C02" w:rsidP="00953C02">
      <w:pPr>
        <w:rPr>
          <w:rFonts w:ascii="DIN-Regular" w:hAnsi="DIN-Regular"/>
          <w:b/>
          <w:bCs/>
        </w:rPr>
      </w:pPr>
      <w:r>
        <w:rPr>
          <w:rFonts w:ascii="DIN-Regular" w:hAnsi="DIN-Regular"/>
          <w:b/>
          <w:bCs/>
        </w:rPr>
        <w:t xml:space="preserve">Missing or incorrect information on the beneficiary owners (BO) details can generate rejections if not addressed on time; leading to ineligibility for the LBS season 19. </w:t>
      </w:r>
    </w:p>
    <w:p w:rsidR="00953C02" w:rsidRDefault="00953C02" w:rsidP="00953C02">
      <w:pPr>
        <w:rPr>
          <w:rFonts w:ascii="DIN-Regular" w:hAnsi="DIN-Regular"/>
          <w:b/>
          <w:bCs/>
          <w:color w:val="000000"/>
        </w:rPr>
      </w:pPr>
      <w:r>
        <w:rPr>
          <w:rFonts w:ascii="DIN-Regular" w:hAnsi="DIN-Regular"/>
          <w:b/>
          <w:bCs/>
        </w:rPr>
        <w:t xml:space="preserve">A </w:t>
      </w:r>
      <w:r>
        <w:rPr>
          <w:rFonts w:ascii="DIN-Regular" w:hAnsi="DIN-Regular"/>
          <w:b/>
          <w:bCs/>
          <w:color w:val="000000"/>
        </w:rPr>
        <w:t>delay may result in penalty fees being levied by the market.</w:t>
      </w:r>
    </w:p>
    <w:p w:rsidR="00953C02" w:rsidRDefault="00953C02" w:rsidP="00953C02">
      <w:pPr>
        <w:rPr>
          <w:rFonts w:ascii="DIN-Regular" w:hAnsi="DIN-Regular"/>
          <w:b/>
          <w:bCs/>
          <w:color w:val="000000"/>
        </w:rPr>
      </w:pPr>
    </w:p>
    <w:p w:rsidR="00953C02" w:rsidRDefault="00953C02" w:rsidP="00953C02">
      <w:pPr>
        <w:rPr>
          <w:rFonts w:ascii="DIN-Regular" w:hAnsi="DIN-Regular"/>
          <w:b/>
          <w:bCs/>
          <w:color w:val="000000"/>
        </w:rPr>
      </w:pPr>
      <w:r>
        <w:rPr>
          <w:rFonts w:ascii="DIN-Regular" w:hAnsi="DIN-Regular"/>
          <w:b/>
          <w:bCs/>
          <w:color w:val="000000"/>
        </w:rPr>
        <w:t xml:space="preserve">BRN flow is dissociated from Corporate action instruction. Therefore, accepted Corporate Action instructions </w:t>
      </w:r>
      <w:r>
        <w:rPr>
          <w:rFonts w:ascii="DIN-Regular" w:hAnsi="DIN-Regular"/>
          <w:b/>
          <w:bCs/>
          <w:color w:val="000000"/>
          <w:u w:val="single"/>
        </w:rPr>
        <w:t>doesn’t mean</w:t>
      </w:r>
      <w:r>
        <w:rPr>
          <w:rFonts w:ascii="DIN-Regular" w:hAnsi="DIN-Regular"/>
          <w:b/>
          <w:bCs/>
          <w:color w:val="000000"/>
        </w:rPr>
        <w:t xml:space="preserve"> that by default, the BRN is accepted and correct. We recommend the client to monitor the lifecycle of BRN through XACT PORTAL under French Registered Shares query. If BRN not completed, positions will be “pending registration”. Once BRN is completed, positions will be FIBO (=Final BO Position). If registration fails with Euroclear France or the issuer, Clearstream Banking will inform customers accordingly, if action is required from customers.</w:t>
      </w:r>
    </w:p>
    <w:p w:rsidR="00953C02" w:rsidRDefault="00953C02" w:rsidP="00953C02">
      <w:pPr>
        <w:rPr>
          <w:rFonts w:ascii="DIN-Regular" w:hAnsi="DIN-Regular"/>
          <w:b/>
          <w:bCs/>
          <w:color w:val="000000"/>
        </w:rPr>
      </w:pPr>
    </w:p>
    <w:p w:rsidR="00953C02" w:rsidRDefault="00953C02" w:rsidP="00953C02">
      <w:pPr>
        <w:rPr>
          <w:rFonts w:ascii="DIN-Regular" w:hAnsi="DIN-Regular"/>
          <w:b/>
          <w:bCs/>
          <w:color w:val="000000"/>
          <w:u w:val="single"/>
        </w:rPr>
      </w:pPr>
      <w:r>
        <w:rPr>
          <w:rFonts w:ascii="DIN-Regular" w:hAnsi="DIN-Regular"/>
          <w:b/>
          <w:bCs/>
          <w:color w:val="000000"/>
          <w:u w:val="single"/>
        </w:rPr>
        <w:t xml:space="preserve">French Registered Shares (FRS) Registered accounts </w:t>
      </w:r>
    </w:p>
    <w:p w:rsidR="00953C02" w:rsidRDefault="00953C02" w:rsidP="00953C02">
      <w:pPr>
        <w:numPr>
          <w:ilvl w:val="0"/>
          <w:numId w:val="1"/>
        </w:numPr>
        <w:rPr>
          <w:rFonts w:ascii="DIN-Regular" w:eastAsia="Times New Roman" w:hAnsi="DIN-Regular"/>
          <w:b/>
          <w:bCs/>
          <w:color w:val="000000"/>
        </w:rPr>
      </w:pPr>
      <w:r>
        <w:rPr>
          <w:rFonts w:ascii="DIN-Regular" w:eastAsia="Times New Roman" w:hAnsi="DIN-Regular"/>
          <w:b/>
          <w:bCs/>
          <w:color w:val="000000"/>
        </w:rPr>
        <w:t>For CBL, CBFi customers, Dedicated FRS‘ registered account’ have to be requested by the customers. In case the customer didn’t request the opening of the registered accounts, the instructions will be rejected with wording (NARR) in the MT567:</w:t>
      </w:r>
    </w:p>
    <w:p w:rsidR="00953C02" w:rsidRDefault="00953C02" w:rsidP="00953C02">
      <w:pPr>
        <w:pStyle w:val="ListParagraph"/>
        <w:rPr>
          <w:rFonts w:ascii="DIN-Regular" w:hAnsi="DIN-Regular"/>
          <w:b/>
          <w:bCs/>
          <w:color w:val="000000"/>
        </w:rPr>
      </w:pPr>
      <w:r>
        <w:rPr>
          <w:rFonts w:ascii="DIN-Regular" w:hAnsi="DIN-Regular"/>
          <w:b/>
          <w:bCs/>
          <w:color w:val="000000"/>
        </w:rPr>
        <w:t>“YOUR ACCOUNT IS NOT LINKED TO A REGISTERED ACCOUNT”.</w:t>
      </w:r>
    </w:p>
    <w:p w:rsidR="00953C02" w:rsidRDefault="00953C02" w:rsidP="00953C02">
      <w:pPr>
        <w:numPr>
          <w:ilvl w:val="0"/>
          <w:numId w:val="1"/>
        </w:numPr>
        <w:rPr>
          <w:rFonts w:ascii="DIN-Regular" w:eastAsia="Times New Roman" w:hAnsi="DIN-Regular"/>
          <w:b/>
          <w:bCs/>
          <w:color w:val="000000"/>
        </w:rPr>
      </w:pPr>
      <w:r>
        <w:rPr>
          <w:rFonts w:ascii="DIN-Regular" w:eastAsia="Times New Roman" w:hAnsi="DIN-Regular"/>
          <w:b/>
          <w:bCs/>
          <w:color w:val="000000"/>
        </w:rPr>
        <w:t>For CBF customers, Sub-account (XXXX-203) have been opened for all customers. No action to be taken on customer’s side.</w:t>
      </w:r>
    </w:p>
    <w:p w:rsidR="00953C02" w:rsidRDefault="00953C02" w:rsidP="00953C02">
      <w:pPr>
        <w:rPr>
          <w:rFonts w:ascii="DIN-Regular" w:hAnsi="DIN-Regular"/>
          <w:b/>
          <w:bCs/>
          <w:color w:val="FF0000"/>
        </w:rPr>
      </w:pPr>
    </w:p>
    <w:p w:rsidR="00953C02" w:rsidRDefault="00953C02" w:rsidP="00953C02">
      <w:pPr>
        <w:rPr>
          <w:rFonts w:ascii="DIN-Regular" w:hAnsi="DIN-Regular"/>
          <w:b/>
          <w:bCs/>
        </w:rPr>
      </w:pPr>
      <w:r>
        <w:rPr>
          <w:rFonts w:ascii="DIN-Regular" w:hAnsi="DIN-Regular"/>
          <w:b/>
          <w:bCs/>
          <w:lang w:val="en-US"/>
        </w:rPr>
        <w:t xml:space="preserve">Reference to Market Link Guides: </w:t>
      </w:r>
    </w:p>
    <w:p w:rsidR="00953C02" w:rsidRDefault="00953C02" w:rsidP="00953C02">
      <w:pPr>
        <w:rPr>
          <w:rFonts w:ascii="DIN-Regular" w:hAnsi="DIN-Regular"/>
          <w:b/>
          <w:bCs/>
        </w:rPr>
      </w:pPr>
      <w:hyperlink r:id="rId9" w:history="1">
        <w:r>
          <w:rPr>
            <w:rStyle w:val="Hyperlink"/>
            <w:rFonts w:ascii="DIN-Regular" w:hAnsi="DIN-Regular"/>
            <w:b/>
            <w:bCs/>
          </w:rPr>
          <w:t>https://www.clearstream.com/clearstream-en/products-and-services/market-coverage/europe-t2s/france/asset-servicing-registered-securities-france-1568254</w:t>
        </w:r>
      </w:hyperlink>
    </w:p>
    <w:p w:rsidR="00953C02" w:rsidRDefault="00953C02" w:rsidP="00953C02">
      <w:pPr>
        <w:rPr>
          <w:rFonts w:ascii="DIN-Regular" w:hAnsi="DIN-Regular"/>
          <w:color w:val="000000"/>
        </w:rPr>
      </w:pPr>
    </w:p>
    <w:p w:rsidR="00F657F8" w:rsidRDefault="004E17B3"/>
    <w:sectPr w:rsidR="00F657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C02" w:rsidRDefault="00953C02" w:rsidP="00953C02">
      <w:r>
        <w:separator/>
      </w:r>
    </w:p>
  </w:endnote>
  <w:endnote w:type="continuationSeparator" w:id="0">
    <w:p w:rsidR="00953C02" w:rsidRDefault="00953C02" w:rsidP="0095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IN-Regular">
    <w:panose1 w:val="020B0500000000000000"/>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C02" w:rsidRDefault="00953C02" w:rsidP="00953C02">
      <w:r>
        <w:separator/>
      </w:r>
    </w:p>
  </w:footnote>
  <w:footnote w:type="continuationSeparator" w:id="0">
    <w:p w:rsidR="00953C02" w:rsidRDefault="00953C02" w:rsidP="0095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A46C0"/>
    <w:multiLevelType w:val="hybridMultilevel"/>
    <w:tmpl w:val="C2E08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3C02"/>
    <w:rsid w:val="004E17B3"/>
    <w:rsid w:val="007C112F"/>
    <w:rsid w:val="00945937"/>
    <w:rsid w:val="00953C02"/>
    <w:rsid w:val="00B07C1F"/>
    <w:rsid w:val="00BD052C"/>
    <w:rsid w:val="00C46768"/>
    <w:rsid w:val="00DF75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6ABD9"/>
  <w15:chartTrackingRefBased/>
  <w15:docId w15:val="{DD1E546E-DCB9-49B0-9A2B-0D7A1A9C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C02"/>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02"/>
    <w:pPr>
      <w:tabs>
        <w:tab w:val="center" w:pos="4680"/>
        <w:tab w:val="right" w:pos="9360"/>
      </w:tabs>
    </w:pPr>
  </w:style>
  <w:style w:type="character" w:customStyle="1" w:styleId="HeaderChar">
    <w:name w:val="Header Char"/>
    <w:basedOn w:val="DefaultParagraphFont"/>
    <w:link w:val="Header"/>
    <w:uiPriority w:val="99"/>
    <w:rsid w:val="00953C02"/>
  </w:style>
  <w:style w:type="paragraph" w:styleId="Footer">
    <w:name w:val="footer"/>
    <w:basedOn w:val="Normal"/>
    <w:link w:val="FooterChar"/>
    <w:uiPriority w:val="99"/>
    <w:unhideWhenUsed/>
    <w:rsid w:val="00953C02"/>
    <w:pPr>
      <w:tabs>
        <w:tab w:val="center" w:pos="4680"/>
        <w:tab w:val="right" w:pos="9360"/>
      </w:tabs>
    </w:pPr>
  </w:style>
  <w:style w:type="character" w:customStyle="1" w:styleId="FooterChar">
    <w:name w:val="Footer Char"/>
    <w:basedOn w:val="DefaultParagraphFont"/>
    <w:link w:val="Footer"/>
    <w:uiPriority w:val="99"/>
    <w:rsid w:val="00953C02"/>
  </w:style>
  <w:style w:type="character" w:styleId="Hyperlink">
    <w:name w:val="Hyperlink"/>
    <w:basedOn w:val="DefaultParagraphFont"/>
    <w:uiPriority w:val="99"/>
    <w:semiHidden/>
    <w:unhideWhenUsed/>
    <w:rsid w:val="00953C02"/>
    <w:rPr>
      <w:color w:val="0563C1"/>
      <w:u w:val="single"/>
    </w:rPr>
  </w:style>
  <w:style w:type="paragraph" w:styleId="ListParagraph">
    <w:name w:val="List Paragraph"/>
    <w:basedOn w:val="Normal"/>
    <w:uiPriority w:val="34"/>
    <w:qFormat/>
    <w:rsid w:val="00953C02"/>
    <w:pPr>
      <w:ind w:left="720"/>
    </w:pPr>
  </w:style>
  <w:style w:type="paragraph" w:styleId="BalloonText">
    <w:name w:val="Balloon Text"/>
    <w:basedOn w:val="Normal"/>
    <w:link w:val="BalloonTextChar"/>
    <w:uiPriority w:val="99"/>
    <w:semiHidden/>
    <w:unhideWhenUsed/>
    <w:rsid w:val="004E17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7B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7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learstream.com/clearstream-en/products-and-services/market-coverage/europe-t2s/france/asset-servicing-registered-securities-france-1568254"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ZGVmYXVsdFZhbHVlIj48ZWxlbWVudCB1aWQ9ImlkX2NsYXNzaWZpY2F0aW9uX2ludGVybmFsb25seSIgdmFsdWU9IiIgeG1sbnM9Imh0dHA6Ly93d3cuYm9sZG9uamFtZXMuY29tLzIwMDgvMDEvc2llL2ludGVybmFsL2xhYmVsIiAvPjwvc2lzbD48VXNlck5hbWU+T0FBRFxjdjk0OTwvVXNlck5hbWU+PERhdGVUaW1lPjA1LzEyLzIwMTkgMTA6MTg6NDU8L0RhdGVUaW1lPjxMYWJlbFN0cmluZz5JbnRlcm5hb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5e216652-7cb1-42d3-a22f-fb5c7f348db5" origin="defaultValue">
  <element uid="id_classification_internalonly" value=""/>
</sisl>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79D73-DE35-49DB-9572-6BB4B622389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9F6D057-E2B0-427A-98CD-AAB92DBEB18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1AB5426-C10F-4867-B7BE-A41FA12D5A7A}"/>
</file>

<file path=customXml/itemProps4.xml><?xml version="1.0" encoding="utf-8"?>
<ds:datastoreItem xmlns:ds="http://schemas.openxmlformats.org/officeDocument/2006/customXml" ds:itemID="{68AD0E0B-8A1D-46B0-9ACB-E9E8EB4A3AD2}"/>
</file>

<file path=customXml/itemProps5.xml><?xml version="1.0" encoding="utf-8"?>
<ds:datastoreItem xmlns:ds="http://schemas.openxmlformats.org/officeDocument/2006/customXml" ds:itemID="{CA091C03-812C-4CF1-841C-2E20EBDB7831}"/>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Deutsche Boerse Group</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Ahrens</dc:creator>
  <cp:keywords/>
  <dc:description/>
  <cp:lastModifiedBy>Sandra Ahrens</cp:lastModifiedBy>
  <cp:revision>1</cp:revision>
  <cp:lastPrinted>2019-12-05T10:10:00Z</cp:lastPrinted>
  <dcterms:created xsi:type="dcterms:W3CDTF">2019-12-05T09:59:00Z</dcterms:created>
  <dcterms:modified xsi:type="dcterms:W3CDTF">2019-12-05T10:19:00Z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2805c086-314e-4754-b58b-8f533ae2787e</vt:lpwstr>
  </property>
  <property fmtid="{D5CDD505-2E9C-101B-9397-08002B2CF9AE}" pid="3" name="bjDocumentLabelXML">
    <vt:lpwstr>&lt;?xml version="1.0" encoding="us-ascii"?&gt;&lt;sisl xmlns:xsi="http://www.w3.org/2001/XMLSchema-instance" xmlns:xsd="http://www.w3.org/2001/XMLSchema" sislVersion="0" policy="5e216652-7cb1-42d3-a22f-fb5c7f348db5" origin="defaultValue"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vt:lpwstr>
  </property>
  <property fmtid="{D5CDD505-2E9C-101B-9397-08002B2CF9AE}" pid="6" name="DBG_Classification_ID">
    <vt:lpwstr>2</vt:lpwstr>
  </property>
  <property fmtid="{D5CDD505-2E9C-101B-9397-08002B2CF9AE}" pid="7" name="DBG_Classification_Name">
    <vt:lpwstr>Internal</vt:lpwstr>
  </property>
  <property fmtid="{D5CDD505-2E9C-101B-9397-08002B2CF9AE}" pid="8" name="bjSaver">
    <vt:lpwstr>CXNi5VWiJIHB/w0Os6Y+Yx3vfUb1VDJa</vt:lpwstr>
  </property>
  <property fmtid="{D5CDD505-2E9C-101B-9397-08002B2CF9AE}" pid="9" name="bjLabelHistoryID">
    <vt:lpwstr>{3F579D73-DE35-49DB-9572-6BB4B6223892}</vt:lpwstr>
  </property>
</Properties>
</file>