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42DEE" w:rsidR="00FB30D6" w:rsidP="00FB30D6" w:rsidRDefault="00FB30D6" w14:paraId="3BA23687" w14:textId="4AF3B3A3">
      <w:pPr>
        <w:pStyle w:val="Head"/>
        <w:jc w:val="center"/>
      </w:pPr>
      <w:bookmarkStart w:name="_Toc122976039" w:id="0"/>
      <w:bookmarkStart w:name="bmkFrontPage" w:id="1"/>
      <w:bookmarkStart w:name="_Hlk123847821" w:id="2"/>
      <w:r w:rsidR="127A7A1E">
        <w:rPr/>
        <w:t>IMPORTANT NOTICE</w:t>
      </w:r>
      <w:bookmarkEnd w:id="0"/>
    </w:p>
    <w:p w:rsidRPr="00F62DB7" w:rsidR="00FB30D6" w:rsidP="00FB30D6" w:rsidRDefault="00FB30D6" w14:paraId="5912B0B5" w14:textId="55D0F02E">
      <w:pPr>
        <w:pStyle w:val="Body"/>
      </w:pPr>
      <w:r w:rsidRPr="00742DEE">
        <w:rPr>
          <w:b/>
        </w:rPr>
        <w:t>IMPORTANT: You must read the following disclaimer before continuing.</w:t>
      </w:r>
      <w:r w:rsidRPr="00742DEE">
        <w:t xml:space="preserve"> The following disclaimer applies to the attached </w:t>
      </w:r>
      <w:r>
        <w:t>tender offer memorandum</w:t>
      </w:r>
      <w:r w:rsidRPr="00742DEE">
        <w:t xml:space="preserve"> (the </w:t>
      </w:r>
      <w:r>
        <w:t>“</w:t>
      </w:r>
      <w:r>
        <w:rPr>
          <w:b/>
        </w:rPr>
        <w:t>Tender Offer Memorandum</w:t>
      </w:r>
      <w:r>
        <w:t>”</w:t>
      </w:r>
      <w:r w:rsidRPr="00742DEE">
        <w:t xml:space="preserve">), and you are therefore required to read this disclaimer page carefully before accessing, reading or making any other use of the </w:t>
      </w:r>
      <w:r>
        <w:t>Tender Offer Memorandum</w:t>
      </w:r>
      <w:r w:rsidRPr="00742DEE">
        <w:t xml:space="preserve">. By accessing the </w:t>
      </w:r>
      <w:r w:rsidR="005C4C34">
        <w:t>Tender Offer Memorandum</w:t>
      </w:r>
      <w:r w:rsidRPr="00742DEE">
        <w:t xml:space="preserve">, you agree to be bound by the following terms and conditions, including any modifications to them from time to time, each time you receive any information from </w:t>
      </w:r>
      <w:r w:rsidRPr="008E7582" w:rsidR="008E7582">
        <w:t>DTEK Holdings Limited</w:t>
      </w:r>
      <w:r w:rsidR="005F0307">
        <w:t>,</w:t>
      </w:r>
      <w:r w:rsidR="00BF5EBB">
        <w:t xml:space="preserve"> </w:t>
      </w:r>
      <w:r w:rsidR="00FA6C94">
        <w:t>as offeror</w:t>
      </w:r>
      <w:r>
        <w:t xml:space="preserve"> (the “</w:t>
      </w:r>
      <w:r w:rsidRPr="004F4628">
        <w:rPr>
          <w:b/>
          <w:bCs/>
        </w:rPr>
        <w:t>Offeror</w:t>
      </w:r>
      <w:r>
        <w:t>”</w:t>
      </w:r>
      <w:r w:rsidR="00FA6C94">
        <w:t xml:space="preserve">) </w:t>
      </w:r>
      <w:r w:rsidRPr="00742DEE">
        <w:t xml:space="preserve">and/or </w:t>
      </w:r>
      <w:r w:rsidRPr="008373F6">
        <w:t>GLAS Specialist Services Limited</w:t>
      </w:r>
      <w:r w:rsidRPr="00CA4A35">
        <w:t xml:space="preserve"> </w:t>
      </w:r>
      <w:r w:rsidRPr="00742DEE">
        <w:t xml:space="preserve">(the </w:t>
      </w:r>
      <w:r>
        <w:t>“</w:t>
      </w:r>
      <w:r w:rsidR="0027613F">
        <w:rPr>
          <w:b/>
        </w:rPr>
        <w:t>Tender Agent</w:t>
      </w:r>
      <w:r>
        <w:t>”</w:t>
      </w:r>
      <w:r w:rsidRPr="00742DEE">
        <w:t xml:space="preserve">) as a result of such access. Capitalised terms used but not otherwise defined in this disclaimer </w:t>
      </w:r>
      <w:r>
        <w:t xml:space="preserve">shall </w:t>
      </w:r>
      <w:r w:rsidRPr="00742DEE">
        <w:t xml:space="preserve">have the meaning given to them in the </w:t>
      </w:r>
      <w:r w:rsidR="005C4C34">
        <w:t>Tender Offer Memorandum</w:t>
      </w:r>
      <w:r w:rsidRPr="00742DEE">
        <w:t>.</w:t>
      </w:r>
    </w:p>
    <w:p w:rsidRPr="00742DEE" w:rsidR="00FB30D6" w:rsidP="00FB30D6" w:rsidRDefault="00FB30D6" w14:paraId="3D11FD86" w14:textId="09C0255D">
      <w:pPr>
        <w:pStyle w:val="Body"/>
        <w:rPr>
          <w:b/>
        </w:rPr>
      </w:pPr>
      <w:r w:rsidRPr="00742DEE">
        <w:rPr>
          <w:b/>
        </w:rPr>
        <w:t xml:space="preserve">THIS ELECTRONIC TRANSMISSION DOES NOT CONTAIN OR CONSTITUTE AN OFFER OF, OR THE SOLICITATION OF AN OFFER TO BUY OR SUBSCRIBE FOR, </w:t>
      </w:r>
      <w:r w:rsidR="00B34A8C">
        <w:rPr>
          <w:b/>
        </w:rPr>
        <w:t>NOTES</w:t>
      </w:r>
      <w:r w:rsidRPr="00742DEE">
        <w:rPr>
          <w:b/>
        </w:rPr>
        <w:t xml:space="preserve"> TO ANY PERSON IN ANY JURISDICTION WHERE SUCH AN OFFER IS UNLAWFUL.</w:t>
      </w:r>
    </w:p>
    <w:p w:rsidRPr="00742DEE" w:rsidR="00FB30D6" w:rsidP="00FB30D6" w:rsidRDefault="00FB30D6" w14:paraId="7637DB7D" w14:textId="7F5C7125">
      <w:pPr>
        <w:pStyle w:val="Body"/>
        <w:rPr>
          <w:b/>
        </w:rPr>
      </w:pPr>
      <w:r w:rsidRPr="00742DEE">
        <w:rPr>
          <w:b/>
        </w:rPr>
        <w:t xml:space="preserve">THE </w:t>
      </w:r>
      <w:r w:rsidR="005C4C34">
        <w:rPr>
          <w:b/>
        </w:rPr>
        <w:t>TENDER OFFER MEMORANDUM</w:t>
      </w:r>
      <w:r w:rsidRPr="00742DEE">
        <w:rPr>
          <w:b/>
        </w:rPr>
        <w:t xml:space="preserve"> MAY NOT BE FORWARDED OR DISTRIBUTED TO ANY OTHER PERSON AND MAY NOT BE REPRODUCED IN ANY MANNER WHATSOEVER. THE </w:t>
      </w:r>
      <w:r w:rsidR="005C4C34">
        <w:rPr>
          <w:b/>
        </w:rPr>
        <w:t>TENDER OFFER MEMORANDUM</w:t>
      </w:r>
      <w:r w:rsidRPr="00742DEE">
        <w:rPr>
          <w:b/>
        </w:rPr>
        <w:t xml:space="preserve"> MAY ONLY BE DISTRIBUTED TO PERSONS TO WHOM IT IS OTHERWISE LAWFUL TO SEND THE </w:t>
      </w:r>
      <w:r w:rsidR="005C4C34">
        <w:rPr>
          <w:b/>
        </w:rPr>
        <w:t>TENDER OFFER MEMORANDUM</w:t>
      </w:r>
      <w:r w:rsidRPr="00742DEE">
        <w:rPr>
          <w:b/>
        </w:rPr>
        <w:t xml:space="preserve">. ANY FORWARDING, DISTRIBUTION OR REPRODUCTION OF THE </w:t>
      </w:r>
      <w:r w:rsidR="005C4C34">
        <w:rPr>
          <w:b/>
        </w:rPr>
        <w:t>TENDER OFFER MEMORANDUM</w:t>
      </w:r>
      <w:r w:rsidRPr="002E7687">
        <w:rPr>
          <w:b/>
        </w:rPr>
        <w:t xml:space="preserve"> </w:t>
      </w:r>
      <w:r w:rsidRPr="00742DEE">
        <w:rPr>
          <w:b/>
        </w:rPr>
        <w:t xml:space="preserve">IN WHOLE OR IN PART IS UNAUTHORISED. FAILURE TO COMPLY WITH THESE REQUIREMENTS MAY RESULT IN A VIOLATION OF THE APPLICABLE </w:t>
      </w:r>
      <w:r w:rsidRPr="0023627A" w:rsidR="0023627A">
        <w:rPr>
          <w:b/>
        </w:rPr>
        <w:t xml:space="preserve">SECURITIES </w:t>
      </w:r>
      <w:r w:rsidRPr="00742DEE">
        <w:rPr>
          <w:b/>
        </w:rPr>
        <w:t xml:space="preserve">LAWS </w:t>
      </w:r>
      <w:r>
        <w:rPr>
          <w:b/>
        </w:rPr>
        <w:t>AND MAY RENDER INVALID ANY PURPORTED ACCEPTANCE</w:t>
      </w:r>
      <w:r w:rsidRPr="00742DEE">
        <w:rPr>
          <w:b/>
        </w:rPr>
        <w:t>.</w:t>
      </w:r>
    </w:p>
    <w:p w:rsidRPr="00742DEE" w:rsidR="00FB30D6" w:rsidP="00FB30D6" w:rsidRDefault="00FB30D6" w14:paraId="57EC3422" w14:textId="7C877062">
      <w:pPr>
        <w:pStyle w:val="Body"/>
      </w:pPr>
      <w:r w:rsidRPr="00742DEE">
        <w:rPr>
          <w:b/>
        </w:rPr>
        <w:t xml:space="preserve">Confirmation of your representation: </w:t>
      </w:r>
      <w:r w:rsidRPr="00742DEE">
        <w:t xml:space="preserve">In order to be eligible to view the attached </w:t>
      </w:r>
      <w:r w:rsidR="005C4C34">
        <w:t>Tender Offer Memorandum</w:t>
      </w:r>
      <w:r w:rsidRPr="00742DEE">
        <w:t xml:space="preserve"> or make an investment decision with respect to the </w:t>
      </w:r>
      <w:r>
        <w:t xml:space="preserve">Tender </w:t>
      </w:r>
      <w:r w:rsidRPr="00742DEE">
        <w:t xml:space="preserve">Offer, </w:t>
      </w:r>
      <w:r>
        <w:t xml:space="preserve">you must be able to participate lawfully in the Tender Offer on the terms and subject to the conditions set out in this </w:t>
      </w:r>
      <w:r w:rsidR="005C4C34">
        <w:t>Tender Offer Memorandum</w:t>
      </w:r>
      <w:r>
        <w:t xml:space="preserve">, </w:t>
      </w:r>
      <w:r w:rsidRPr="004C3099">
        <w:t xml:space="preserve">including the offer and distribution </w:t>
      </w:r>
      <w:r w:rsidRPr="006A68CE">
        <w:t xml:space="preserve">restrictions set out </w:t>
      </w:r>
      <w:r w:rsidRPr="009662A4">
        <w:t xml:space="preserve">on pages </w:t>
      </w:r>
      <w:r w:rsidRPr="009662A4" w:rsidR="009662A4">
        <w:t>5</w:t>
      </w:r>
      <w:r w:rsidRPr="009662A4">
        <w:t xml:space="preserve"> to </w:t>
      </w:r>
      <w:r w:rsidRPr="009662A4" w:rsidR="009662A4">
        <w:t>6</w:t>
      </w:r>
      <w:r w:rsidRPr="009662A4" w:rsidR="00A24F31">
        <w:t xml:space="preserve"> </w:t>
      </w:r>
      <w:r w:rsidRPr="009662A4">
        <w:t>thereof</w:t>
      </w:r>
      <w:r w:rsidRPr="004C3099">
        <w:t xml:space="preserve"> (the </w:t>
      </w:r>
      <w:r>
        <w:t>“</w:t>
      </w:r>
      <w:r w:rsidRPr="004C3099">
        <w:rPr>
          <w:b/>
        </w:rPr>
        <w:t>Offer</w:t>
      </w:r>
      <w:r w:rsidR="006A68CE">
        <w:rPr>
          <w:b/>
        </w:rPr>
        <w:t xml:space="preserve"> </w:t>
      </w:r>
      <w:r w:rsidRPr="004C3099">
        <w:rPr>
          <w:b/>
        </w:rPr>
        <w:t>and Distribution Restrictions</w:t>
      </w:r>
      <w:r>
        <w:t>”</w:t>
      </w:r>
      <w:r w:rsidRPr="004C3099">
        <w:t>)</w:t>
      </w:r>
      <w:r w:rsidRPr="00D930A5" w:rsidR="00D930A5">
        <w:t xml:space="preserve"> in respect of the outstanding 7.0/7.5% Senior Secured PIK Toggle Notes due 2027 </w:t>
      </w:r>
      <w:r w:rsidRPr="00D4381E" w:rsidR="00D4381E">
        <w:t>originally issued by DTEK Finance plc</w:t>
      </w:r>
      <w:r w:rsidR="004055BE">
        <w:t>,</w:t>
      </w:r>
      <w:r w:rsidR="006126CB">
        <w:t xml:space="preserve"> </w:t>
      </w:r>
      <w:r w:rsidRPr="006126CB" w:rsidR="006126CB">
        <w:t xml:space="preserve">with DTEK Energy B.V. as successor issuer to DTEK Finance plc </w:t>
      </w:r>
      <w:r w:rsidRPr="00D930A5" w:rsidR="00D930A5">
        <w:t>(ISIN: XS2342930521) (the “</w:t>
      </w:r>
      <w:r w:rsidRPr="00D930A5" w:rsidR="00D930A5">
        <w:rPr>
          <w:b/>
          <w:bCs/>
        </w:rPr>
        <w:t>Notes</w:t>
      </w:r>
      <w:r w:rsidRPr="00D930A5" w:rsidR="00D930A5">
        <w:t>”)</w:t>
      </w:r>
      <w:r w:rsidRPr="00742DEE">
        <w:t>.</w:t>
      </w:r>
    </w:p>
    <w:p w:rsidRPr="00742DEE" w:rsidR="00FB30D6" w:rsidP="00FB30D6" w:rsidRDefault="00FB30D6" w14:paraId="1B98E195" w14:textId="612BB4F5">
      <w:pPr>
        <w:pStyle w:val="Body"/>
      </w:pPr>
      <w:r w:rsidRPr="00742DEE">
        <w:t xml:space="preserve">The </w:t>
      </w:r>
      <w:r w:rsidR="005C4C34">
        <w:t>Tender Offer Memorandum</w:t>
      </w:r>
      <w:r w:rsidRPr="00742DEE">
        <w:t xml:space="preserve"> was sent at your request, and by accessing the </w:t>
      </w:r>
      <w:r w:rsidR="005C4C34">
        <w:t>Tender Offer Memorandum</w:t>
      </w:r>
      <w:r w:rsidRPr="00742DEE">
        <w:t xml:space="preserve"> you will be deemed to have represented to the</w:t>
      </w:r>
      <w:r>
        <w:t xml:space="preserve"> Offeror</w:t>
      </w:r>
      <w:r w:rsidR="00D61E5E">
        <w:t xml:space="preserve"> </w:t>
      </w:r>
      <w:r w:rsidR="00D96106">
        <w:t xml:space="preserve">and the </w:t>
      </w:r>
      <w:r w:rsidR="0027613F">
        <w:t>Tender Agent</w:t>
      </w:r>
      <w:r w:rsidR="00D96106">
        <w:t xml:space="preserve"> </w:t>
      </w:r>
      <w:r w:rsidRPr="00742DEE">
        <w:t>that:</w:t>
      </w:r>
    </w:p>
    <w:p w:rsidRPr="00742DEE" w:rsidR="00FB30D6" w:rsidP="00FB30D6" w:rsidRDefault="00FB30D6" w14:paraId="5312D3D0" w14:textId="77777777">
      <w:pPr>
        <w:pStyle w:val="Roman2-i"/>
      </w:pPr>
      <w:r w:rsidRPr="00742DEE">
        <w:t>you are a holder or a beneficial owner of the Notes;</w:t>
      </w:r>
    </w:p>
    <w:p w:rsidR="00FB30D6" w:rsidP="00FB30D6" w:rsidRDefault="00FB30D6" w14:paraId="1454C5BB" w14:textId="35AB52A5">
      <w:pPr>
        <w:pStyle w:val="Roman2-i"/>
      </w:pPr>
      <w:r w:rsidRPr="00742DEE">
        <w:t xml:space="preserve">you are a person to whom it is lawful to send the </w:t>
      </w:r>
      <w:r w:rsidR="005C4C34">
        <w:t>Tender Offer Memorandum</w:t>
      </w:r>
      <w:r w:rsidRPr="00742DEE">
        <w:t xml:space="preserve"> or to make an invitation pursuant to the </w:t>
      </w:r>
      <w:r>
        <w:t xml:space="preserve">Tender </w:t>
      </w:r>
      <w:r w:rsidRPr="00742DEE">
        <w:t>Offer</w:t>
      </w:r>
      <w:r>
        <w:t xml:space="preserve"> </w:t>
      </w:r>
      <w:r w:rsidRPr="00742DEE">
        <w:t>in accordance with applicable laws, including the Offer and Distribution Restrictions;</w:t>
      </w:r>
    </w:p>
    <w:p w:rsidRPr="00742DEE" w:rsidR="00FB30D6" w:rsidP="00FB30D6" w:rsidRDefault="00FB30D6" w14:paraId="13325161" w14:textId="5AB81219">
      <w:pPr>
        <w:pStyle w:val="Roman2-i"/>
      </w:pPr>
      <w:r w:rsidRPr="00742DEE">
        <w:t xml:space="preserve">you consent to delivery of the </w:t>
      </w:r>
      <w:r w:rsidR="005C4C34">
        <w:t>Tender Offer Memorandum</w:t>
      </w:r>
      <w:r w:rsidRPr="00742DEE">
        <w:t xml:space="preserve"> by electronic transmission</w:t>
      </w:r>
      <w:r w:rsidR="00206F87">
        <w:t>;</w:t>
      </w:r>
    </w:p>
    <w:p w:rsidR="00FB30D6" w:rsidP="00FB30D6" w:rsidRDefault="00FB30D6" w14:paraId="0C68C3CB" w14:textId="115D0584">
      <w:pPr>
        <w:pStyle w:val="Roman2-i"/>
      </w:pPr>
      <w:r w:rsidRPr="00742DEE">
        <w:t>you are not a Sanctions Restricted Person (as defined herein)</w:t>
      </w:r>
      <w:r w:rsidR="00206F87">
        <w:t>; and</w:t>
      </w:r>
    </w:p>
    <w:p w:rsidRPr="00742DEE" w:rsidR="00206F87" w:rsidP="00FB30D6" w:rsidRDefault="000C29E3" w14:paraId="38A94623" w14:textId="562AC6DB">
      <w:pPr>
        <w:pStyle w:val="Roman2-i"/>
      </w:pPr>
      <w:r w:rsidRPr="000C29E3">
        <w:t>you shall not distribute or forward the Tender Offer Memorandum to third parties or otherwise make the Tender Offer Memorandum publicly available</w:t>
      </w:r>
      <w:r>
        <w:t>.</w:t>
      </w:r>
    </w:p>
    <w:p w:rsidRPr="00742DEE" w:rsidR="00FB30D6" w:rsidP="00FB30D6" w:rsidRDefault="00FB30D6" w14:paraId="2A2BF626" w14:textId="0D205CDE">
      <w:pPr>
        <w:pStyle w:val="Body"/>
      </w:pPr>
      <w:r w:rsidRPr="00742DEE">
        <w:t xml:space="preserve">The </w:t>
      </w:r>
      <w:r w:rsidR="005C4C34">
        <w:t>Tender Offer Memorandum</w:t>
      </w:r>
      <w:r w:rsidRPr="00742DEE">
        <w:t xml:space="preserve"> has been sent to you in an electronic form. You are reminded that documents transmitted via this medium may be altered or changed during the process of electronic transmission and consequently none of the</w:t>
      </w:r>
      <w:r>
        <w:t xml:space="preserve"> Offeror</w:t>
      </w:r>
      <w:r w:rsidR="00032ADB">
        <w:t xml:space="preserve">, </w:t>
      </w:r>
      <w:r w:rsidR="00F56647">
        <w:t>the</w:t>
      </w:r>
      <w:r w:rsidRPr="00742DEE">
        <w:t xml:space="preserve"> </w:t>
      </w:r>
      <w:r w:rsidR="0027613F">
        <w:t>Tender Agent</w:t>
      </w:r>
      <w:r w:rsidRPr="00F56647" w:rsidR="00F56647">
        <w:t xml:space="preserve"> </w:t>
      </w:r>
      <w:r w:rsidRPr="00742DEE">
        <w:t xml:space="preserve">or any person who controls, or is a director, officer, employee, agent or affiliate of, any such person accepts any liability or responsibility whatsoever in respect of </w:t>
      </w:r>
      <w:r w:rsidRPr="00742DEE">
        <w:lastRenderedPageBreak/>
        <w:t xml:space="preserve">any difference between the </w:t>
      </w:r>
      <w:r w:rsidR="005C4C34">
        <w:t>Tender Offer Memorandum</w:t>
      </w:r>
      <w:r w:rsidRPr="00742DEE">
        <w:t xml:space="preserve"> distributed to you in electronic format and the hard copy version available to you on request from </w:t>
      </w:r>
      <w:r w:rsidR="003F5243">
        <w:t xml:space="preserve">the </w:t>
      </w:r>
      <w:r w:rsidR="0027613F">
        <w:t>Tender Agent</w:t>
      </w:r>
      <w:r w:rsidRPr="00742DEE">
        <w:t xml:space="preserve">. You are also reminded that the attached </w:t>
      </w:r>
      <w:r w:rsidR="005C4C34">
        <w:t>Tender Offer Memorandum</w:t>
      </w:r>
      <w:r w:rsidRPr="00742DEE">
        <w:t xml:space="preserve"> has been sent to you on the basis that you are a person into whose possession the </w:t>
      </w:r>
      <w:r w:rsidR="005C4C34">
        <w:t>Tender Offer Memorandum</w:t>
      </w:r>
      <w:r w:rsidRPr="00742DEE">
        <w:t xml:space="preserve"> may be lawfully delivered in accordance with the laws of the jurisdiction in which you are located or resident and you may not, nor are you authorised to, deliver the </w:t>
      </w:r>
      <w:r w:rsidR="005C4C34">
        <w:t>Tender Offer Memorandum</w:t>
      </w:r>
      <w:r w:rsidRPr="00742DEE">
        <w:t xml:space="preserve"> to any other person.</w:t>
      </w:r>
    </w:p>
    <w:p w:rsidR="00FB30D6" w:rsidP="00FB30D6" w:rsidRDefault="00FB30D6" w14:paraId="738EDA81" w14:textId="610F75F2">
      <w:pPr>
        <w:pStyle w:val="Body"/>
      </w:pPr>
      <w:r w:rsidRPr="00C72D60">
        <w:t xml:space="preserve">If you have recently sold or otherwise transferred your entire holding(s) of the Notes, you should notify the </w:t>
      </w:r>
      <w:r w:rsidR="0027613F">
        <w:t>Tender Agent</w:t>
      </w:r>
      <w:r w:rsidRPr="00C72D60">
        <w:t xml:space="preserve"> immediately.</w:t>
      </w:r>
    </w:p>
    <w:p w:rsidRPr="00742DEE" w:rsidR="00FB30D6" w:rsidP="00FB30D6" w:rsidRDefault="00FB30D6" w14:paraId="4A618ABD" w14:textId="41BC464C">
      <w:pPr>
        <w:pStyle w:val="Body"/>
      </w:pPr>
      <w:r w:rsidRPr="00742DEE">
        <w:t>Any materials relating to the</w:t>
      </w:r>
      <w:r>
        <w:t xml:space="preserve"> Tender</w:t>
      </w:r>
      <w:r w:rsidRPr="00742DEE">
        <w:t xml:space="preserve"> Offer do not constitute, and may not be used in connection with, any form of offer </w:t>
      </w:r>
      <w:r w:rsidR="00053CE5">
        <w:t xml:space="preserve">or </w:t>
      </w:r>
      <w:r w:rsidRPr="00053CE5" w:rsidR="00053CE5">
        <w:t>solicitatio</w:t>
      </w:r>
      <w:r w:rsidR="00BB31BD">
        <w:t>n</w:t>
      </w:r>
      <w:r w:rsidRPr="00053CE5" w:rsidR="00053CE5">
        <w:t xml:space="preserve"> </w:t>
      </w:r>
      <w:r w:rsidRPr="00742DEE">
        <w:t xml:space="preserve">in any place where such offers </w:t>
      </w:r>
      <w:r w:rsidR="00053CE5">
        <w:t xml:space="preserve">or </w:t>
      </w:r>
      <w:r w:rsidRPr="00053CE5" w:rsidR="00053CE5">
        <w:t>solicitation</w:t>
      </w:r>
      <w:r w:rsidR="00053CE5">
        <w:t>s</w:t>
      </w:r>
      <w:r w:rsidRPr="00053CE5" w:rsidR="00053CE5">
        <w:t xml:space="preserve"> </w:t>
      </w:r>
      <w:r w:rsidRPr="00742DEE">
        <w:t>are not permitted by law.</w:t>
      </w:r>
    </w:p>
    <w:p w:rsidRPr="00742DEE" w:rsidR="00FB30D6" w:rsidP="00FB30D6" w:rsidRDefault="00FB30D6" w14:paraId="1B144283" w14:textId="3DF7C384">
      <w:pPr>
        <w:pStyle w:val="Body"/>
      </w:pPr>
      <w:r w:rsidRPr="00742DEE">
        <w:t xml:space="preserve">The </w:t>
      </w:r>
      <w:r w:rsidR="005C4C34">
        <w:t>Tender Offer Memorandum</w:t>
      </w:r>
      <w:r w:rsidRPr="00742DEE">
        <w:t xml:space="preserve"> may only be communicated to persons in the United Kingdom in circumstances where section 21(1) of the Financial Services and Markets Act 2000 does not apply.</w:t>
      </w:r>
    </w:p>
    <w:p w:rsidRPr="00742DEE" w:rsidR="00FB30D6" w:rsidP="00FB30D6" w:rsidRDefault="00FB30D6" w14:paraId="73486ADC" w14:textId="33A29CFD">
      <w:pPr>
        <w:pStyle w:val="Body"/>
      </w:pPr>
      <w:r w:rsidRPr="00742DEE">
        <w:rPr>
          <w:b/>
        </w:rPr>
        <w:t>Restrictions:</w:t>
      </w:r>
      <w:r w:rsidRPr="00742DEE">
        <w:t xml:space="preserve"> Nothing in this electronic transmission constitutes an offer to buy or the solicitation of an offer to sell securities in any jurisdiction in which such offer or solicitation would be unlawful. The </w:t>
      </w:r>
      <w:r>
        <w:t>Tender</w:t>
      </w:r>
      <w:r w:rsidR="00F42E70">
        <w:t xml:space="preserve"> Offer</w:t>
      </w:r>
      <w:r>
        <w:t xml:space="preserve"> </w:t>
      </w:r>
      <w:r w:rsidR="0054034D">
        <w:t>is</w:t>
      </w:r>
      <w:r w:rsidRPr="00742DEE" w:rsidR="00273B37">
        <w:t xml:space="preserve"> </w:t>
      </w:r>
      <w:r w:rsidRPr="00742DEE">
        <w:t>subject to offer</w:t>
      </w:r>
      <w:r>
        <w:t xml:space="preserve"> </w:t>
      </w:r>
      <w:r w:rsidRPr="00742DEE">
        <w:t>and distribution restrictions in, amongst other jurisdictions, the United Kingdom, Italy</w:t>
      </w:r>
      <w:r>
        <w:t>, Luxembourg,</w:t>
      </w:r>
      <w:r w:rsidRPr="00742DEE">
        <w:t xml:space="preserve"> France</w:t>
      </w:r>
      <w:r>
        <w:t>, Belgium, Ireland and the Russian Federation</w:t>
      </w:r>
      <w:r w:rsidRPr="00742DEE">
        <w:t>.</w:t>
      </w:r>
    </w:p>
    <w:p w:rsidRPr="00742DEE" w:rsidR="00FB30D6" w:rsidP="00FB30D6" w:rsidRDefault="00FB30D6" w14:paraId="3C3880DE" w14:textId="7CF57D81">
      <w:pPr>
        <w:pStyle w:val="Body"/>
        <w:rPr>
          <w:b/>
        </w:rPr>
      </w:pPr>
      <w:r w:rsidRPr="00742DEE">
        <w:rPr>
          <w:b/>
        </w:rPr>
        <w:t xml:space="preserve">The distribution of the </w:t>
      </w:r>
      <w:r w:rsidR="005C4C34">
        <w:rPr>
          <w:b/>
          <w:bCs/>
        </w:rPr>
        <w:t>Tender Offer Memorandum</w:t>
      </w:r>
      <w:r w:rsidRPr="00742DEE">
        <w:rPr>
          <w:b/>
        </w:rPr>
        <w:t xml:space="preserve"> in certain jurisdictions may be restricted by law. Persons into whose possession the </w:t>
      </w:r>
      <w:r w:rsidR="005C4C34">
        <w:rPr>
          <w:b/>
          <w:bCs/>
        </w:rPr>
        <w:t>Tender Offer Memorandum</w:t>
      </w:r>
      <w:r w:rsidRPr="00742DEE">
        <w:rPr>
          <w:b/>
        </w:rPr>
        <w:t xml:space="preserve"> comes are required by the </w:t>
      </w:r>
      <w:r>
        <w:rPr>
          <w:b/>
        </w:rPr>
        <w:t>Offeror</w:t>
      </w:r>
      <w:r w:rsidR="00D52CDA">
        <w:rPr>
          <w:b/>
        </w:rPr>
        <w:t xml:space="preserve"> </w:t>
      </w:r>
      <w:r w:rsidR="00B05626">
        <w:rPr>
          <w:b/>
        </w:rPr>
        <w:t xml:space="preserve">and </w:t>
      </w:r>
      <w:r w:rsidRPr="00B05626" w:rsidR="00B05626">
        <w:rPr>
          <w:b/>
        </w:rPr>
        <w:t xml:space="preserve">the </w:t>
      </w:r>
      <w:r w:rsidR="0027613F">
        <w:rPr>
          <w:b/>
        </w:rPr>
        <w:t>Tender Agent</w:t>
      </w:r>
      <w:r w:rsidRPr="00B05626" w:rsidR="00B05626">
        <w:rPr>
          <w:b/>
        </w:rPr>
        <w:t xml:space="preserve"> </w:t>
      </w:r>
      <w:r w:rsidRPr="00742DEE">
        <w:rPr>
          <w:b/>
        </w:rPr>
        <w:t xml:space="preserve">to inform themselves about, and to observe, any such restrictions. </w:t>
      </w:r>
      <w:r w:rsidRPr="00742DEE">
        <w:t xml:space="preserve">See also </w:t>
      </w:r>
      <w:r>
        <w:t>“</w:t>
      </w:r>
      <w:r w:rsidRPr="00742DEE">
        <w:rPr>
          <w:i/>
        </w:rPr>
        <w:t>Offer and Distribution Restrictions</w:t>
      </w:r>
      <w:r>
        <w:t>”</w:t>
      </w:r>
      <w:r w:rsidRPr="00742DEE">
        <w:t xml:space="preserve"> in the </w:t>
      </w:r>
      <w:r w:rsidR="005C4C34">
        <w:t>Tender Offer Memorandum</w:t>
      </w:r>
      <w:r w:rsidRPr="00742DEE">
        <w:t>.</w:t>
      </w:r>
    </w:p>
    <w:p w:rsidRPr="00742DEE" w:rsidR="00FB30D6" w:rsidP="00FB30D6" w:rsidRDefault="00FB30D6" w14:paraId="5EB4A3BB" w14:textId="79E7B710">
      <w:pPr>
        <w:pStyle w:val="Body"/>
      </w:pPr>
      <w:r w:rsidRPr="00742DEE">
        <w:t xml:space="preserve">This </w:t>
      </w:r>
      <w:r w:rsidR="005C4C34">
        <w:t>Tender Offer Memorandum</w:t>
      </w:r>
      <w:r w:rsidRPr="00742DEE">
        <w:t xml:space="preserve"> contains important information which should be read carefully before any decision is made with respect to the </w:t>
      </w:r>
      <w:r>
        <w:t xml:space="preserve">Tender </w:t>
      </w:r>
      <w:r w:rsidRPr="00742DEE">
        <w:t>Offer. If any holder of the Notes is in any doubt as to the action it should take, it is recommended to seek its own financial advice, including as to any tax consequences, from its stockbroker, bank manager, solicitor, accountant or other independent financial</w:t>
      </w:r>
      <w:r>
        <w:t>, tax or legal</w:t>
      </w:r>
      <w:r w:rsidRPr="00742DEE">
        <w:t xml:space="preserve"> adviser. Any individual or company whose Notes are held on its behalf by a broker, dealer, bank, custodian, trust company or other nominee must contact such entity if it wishes to </w:t>
      </w:r>
      <w:r w:rsidRPr="00AC312E" w:rsidR="00AC312E">
        <w:t>tender Notes</w:t>
      </w:r>
      <w:r w:rsidR="00C57150">
        <w:t xml:space="preserve"> </w:t>
      </w:r>
      <w:r w:rsidRPr="00742DEE">
        <w:t>in the</w:t>
      </w:r>
      <w:r>
        <w:t xml:space="preserve"> Tender</w:t>
      </w:r>
      <w:r w:rsidRPr="00742DEE">
        <w:t xml:space="preserve"> Offer.</w:t>
      </w:r>
    </w:p>
    <w:p w:rsidR="00FB30D6" w:rsidP="00C33FDE" w:rsidRDefault="00FB30D6" w14:paraId="52FA2A07" w14:textId="77777777">
      <w:pPr>
        <w:pStyle w:val="Body"/>
        <w:ind w:left="0"/>
      </w:pPr>
    </w:p>
    <w:p w:rsidR="00FB30D6" w:rsidP="00C33FDE" w:rsidRDefault="00FB30D6" w14:paraId="622B3A5D" w14:textId="77777777">
      <w:pPr>
        <w:pStyle w:val="Body"/>
        <w:ind w:left="0"/>
      </w:pPr>
    </w:p>
    <w:p w:rsidR="00FB30D6" w:rsidP="00C33FDE" w:rsidRDefault="00FB30D6" w14:paraId="2F6AEA3D" w14:textId="77777777">
      <w:pPr>
        <w:pStyle w:val="Body"/>
        <w:ind w:left="0"/>
        <w:sectPr w:rsidR="00FB30D6" w:rsidSect="00FD5FC7">
          <w:footerReference w:type="default" r:id="rId12"/>
          <w:pgSz w:w="11907" w:h="16840" w:orient="portrait" w:code="9"/>
          <w:pgMar w:top="1412" w:right="1366" w:bottom="1985" w:left="1281" w:header="1049" w:footer="795" w:gutter="0"/>
          <w:pgNumType w:start="1"/>
          <w:cols w:space="720"/>
          <w:titlePg/>
          <w:docGrid w:linePitch="272"/>
        </w:sectPr>
      </w:pPr>
    </w:p>
    <w:p w:rsidRPr="00901FD9" w:rsidR="00EE556C" w:rsidP="006C479B" w:rsidRDefault="005C4C34" w14:paraId="4EA10B17" w14:textId="30D0C4CA">
      <w:pPr>
        <w:pStyle w:val="Body"/>
      </w:pPr>
      <w:r>
        <w:lastRenderedPageBreak/>
        <w:t>Tender Offer Memorandum</w:t>
      </w:r>
      <w:r w:rsidRPr="00901FD9" w:rsidR="00FB30D6">
        <w:t xml:space="preserve"> </w:t>
      </w:r>
      <w:r w:rsidRPr="000B3EFB" w:rsidR="00FB30D6">
        <w:t xml:space="preserve">dated </w:t>
      </w:r>
      <w:r w:rsidR="004530E9">
        <w:t>6</w:t>
      </w:r>
      <w:r w:rsidRPr="000B3EFB" w:rsidR="00DE505B">
        <w:t xml:space="preserve"> </w:t>
      </w:r>
      <w:r w:rsidR="004530E9">
        <w:t>March</w:t>
      </w:r>
      <w:r w:rsidRPr="000B3EFB" w:rsidR="00FB30D6">
        <w:t xml:space="preserve"> 202</w:t>
      </w:r>
      <w:r w:rsidRPr="000B3EFB" w:rsidR="0006307D">
        <w:t>3</w:t>
      </w:r>
    </w:p>
    <w:p w:rsidR="007A5205" w:rsidP="006C479B" w:rsidRDefault="007A5205" w14:paraId="3CAE69E2" w14:textId="0BB72E1E">
      <w:pPr>
        <w:pStyle w:val="Title18"/>
        <w:contextualSpacing/>
        <w:rPr>
          <w:bCs/>
          <w:sz w:val="32"/>
          <w:szCs w:val="32"/>
        </w:rPr>
      </w:pPr>
    </w:p>
    <w:p w:rsidRPr="00FB30D6" w:rsidR="00441EA2" w:rsidP="006C479B" w:rsidRDefault="002C293F" w14:paraId="73AEC0AE" w14:textId="4E98C6F3">
      <w:pPr>
        <w:pStyle w:val="Title18"/>
        <w:contextualSpacing/>
        <w:rPr>
          <w:b w:val="0"/>
          <w:i/>
          <w:sz w:val="20"/>
        </w:rPr>
      </w:pPr>
      <w:bookmarkStart w:name="_Toc122976040" w:id="4"/>
      <w:r w:rsidRPr="002C293F">
        <w:rPr>
          <w:bCs/>
          <w:sz w:val="32"/>
          <w:szCs w:val="32"/>
        </w:rPr>
        <w:t>DTEK Holdings Limited</w:t>
      </w:r>
      <w:r w:rsidR="00441EA2">
        <w:rPr>
          <w:bCs/>
        </w:rPr>
        <w:br/>
      </w:r>
      <w:r w:rsidRPr="00FB30D6" w:rsidR="00441EA2">
        <w:rPr>
          <w:b w:val="0"/>
          <w:i/>
          <w:sz w:val="20"/>
        </w:rPr>
        <w:t>(</w:t>
      </w:r>
      <w:r w:rsidR="00B0639D">
        <w:rPr>
          <w:b w:val="0"/>
          <w:i/>
          <w:sz w:val="20"/>
        </w:rPr>
        <w:t>as</w:t>
      </w:r>
      <w:r w:rsidRPr="00FB30D6" w:rsidR="00441EA2">
        <w:rPr>
          <w:b w:val="0"/>
          <w:i/>
          <w:sz w:val="20"/>
        </w:rPr>
        <w:t xml:space="preserve"> </w:t>
      </w:r>
      <w:r w:rsidR="004D2F93">
        <w:rPr>
          <w:b w:val="0"/>
          <w:i/>
          <w:sz w:val="20"/>
        </w:rPr>
        <w:t xml:space="preserve">the </w:t>
      </w:r>
      <w:r w:rsidRPr="00FB30D6" w:rsidR="00441EA2">
        <w:rPr>
          <w:b w:val="0"/>
          <w:i/>
          <w:sz w:val="20"/>
        </w:rPr>
        <w:t>“Offeror”)</w:t>
      </w:r>
      <w:bookmarkEnd w:id="4"/>
    </w:p>
    <w:p w:rsidR="006C479B" w:rsidP="006C479B" w:rsidRDefault="006C479B" w14:paraId="7C1E0233" w14:textId="39E50E7A">
      <w:pPr>
        <w:pStyle w:val="Body"/>
        <w:ind w:left="0"/>
        <w:contextualSpacing/>
        <w:rPr>
          <w:b/>
          <w:bCs/>
        </w:rPr>
      </w:pPr>
    </w:p>
    <w:p w:rsidR="00FB30D6" w:rsidP="004E262E" w:rsidRDefault="00FB30D6" w14:paraId="493A9EC2" w14:textId="0897966B">
      <w:pPr>
        <w:pStyle w:val="Body"/>
        <w:ind w:left="0"/>
        <w:contextualSpacing/>
        <w:jc w:val="center"/>
        <w:rPr>
          <w:b/>
          <w:bCs/>
        </w:rPr>
      </w:pPr>
      <w:r>
        <w:rPr>
          <w:b/>
          <w:bCs/>
        </w:rPr>
        <w:t xml:space="preserve">Invitation to </w:t>
      </w:r>
      <w:r w:rsidRPr="00901FD9">
        <w:rPr>
          <w:b/>
          <w:bCs/>
        </w:rPr>
        <w:t xml:space="preserve">tender </w:t>
      </w:r>
      <w:r w:rsidR="00F11C96">
        <w:rPr>
          <w:b/>
          <w:bCs/>
        </w:rPr>
        <w:t xml:space="preserve">the </w:t>
      </w:r>
      <w:r w:rsidRPr="00962B5C" w:rsidR="00F11C96">
        <w:rPr>
          <w:b/>
          <w:bCs/>
        </w:rPr>
        <w:t>7.0/7.5% Senior Secured PIK Toggle Notes due 2027</w:t>
      </w:r>
      <w:r w:rsidR="007A2567">
        <w:rPr>
          <w:b/>
          <w:bCs/>
        </w:rPr>
        <w:t>, originally issued by DTEK Finance plc</w:t>
      </w:r>
      <w:r w:rsidR="006C1557">
        <w:rPr>
          <w:b/>
          <w:bCs/>
        </w:rPr>
        <w:t>,</w:t>
      </w:r>
      <w:r w:rsidR="009A28EF">
        <w:rPr>
          <w:b/>
          <w:bCs/>
        </w:rPr>
        <w:t xml:space="preserve"> with</w:t>
      </w:r>
      <w:r w:rsidR="00F11C96">
        <w:rPr>
          <w:b/>
          <w:bCs/>
        </w:rPr>
        <w:t xml:space="preserve"> </w:t>
      </w:r>
      <w:r w:rsidRPr="009A28EF" w:rsidR="009A28EF">
        <w:rPr>
          <w:b/>
          <w:bCs/>
        </w:rPr>
        <w:t xml:space="preserve">DTEK Energy B.V. </w:t>
      </w:r>
      <w:r w:rsidR="00F44C3F">
        <w:rPr>
          <w:b/>
          <w:bCs/>
        </w:rPr>
        <w:t xml:space="preserve">as successor issuer to </w:t>
      </w:r>
      <w:r w:rsidRPr="009A28EF" w:rsidR="009A28EF">
        <w:rPr>
          <w:b/>
          <w:bCs/>
        </w:rPr>
        <w:t xml:space="preserve">DTEK Finance plc </w:t>
      </w:r>
      <w:r w:rsidRPr="00962B5C" w:rsidR="00F11C96">
        <w:rPr>
          <w:b/>
          <w:bCs/>
        </w:rPr>
        <w:t xml:space="preserve">(the </w:t>
      </w:r>
      <w:r w:rsidR="00F11C96">
        <w:rPr>
          <w:b/>
          <w:bCs/>
        </w:rPr>
        <w:t>“</w:t>
      </w:r>
      <w:r w:rsidRPr="00962B5C" w:rsidR="00F11C96">
        <w:rPr>
          <w:b/>
          <w:bCs/>
        </w:rPr>
        <w:t>Notes</w:t>
      </w:r>
      <w:r w:rsidR="00F11C96">
        <w:rPr>
          <w:b/>
          <w:bCs/>
        </w:rPr>
        <w:t>”</w:t>
      </w:r>
      <w:r w:rsidRPr="00962B5C" w:rsidR="00F11C96">
        <w:rPr>
          <w:b/>
          <w:bCs/>
        </w:rPr>
        <w:t>)</w:t>
      </w:r>
      <w:r w:rsidRPr="00901FD9">
        <w:rPr>
          <w:b/>
          <w:bCs/>
        </w:rPr>
        <w:t xml:space="preserve"> </w:t>
      </w:r>
      <w:r w:rsidRPr="003D2DA4">
        <w:rPr>
          <w:b/>
          <w:bCs/>
        </w:rPr>
        <w:t xml:space="preserve">for purchase by the </w:t>
      </w:r>
      <w:r>
        <w:rPr>
          <w:b/>
          <w:bCs/>
        </w:rPr>
        <w:t>Offeror</w:t>
      </w:r>
      <w:r w:rsidRPr="003D2DA4">
        <w:rPr>
          <w:b/>
          <w:bCs/>
        </w:rPr>
        <w:t xml:space="preserve"> for cash at prices to be determined pursuant to</w:t>
      </w:r>
      <w:r w:rsidRPr="00901FD9">
        <w:rPr>
          <w:b/>
          <w:bCs/>
        </w:rPr>
        <w:t xml:space="preserve"> a</w:t>
      </w:r>
      <w:r>
        <w:rPr>
          <w:b/>
          <w:bCs/>
        </w:rPr>
        <w:t>n</w:t>
      </w:r>
      <w:r w:rsidRPr="00901FD9">
        <w:rPr>
          <w:b/>
          <w:bCs/>
        </w:rPr>
        <w:t xml:space="preserve"> unmodified Dutch auction</w:t>
      </w:r>
      <w:r>
        <w:rPr>
          <w:b/>
          <w:bCs/>
        </w:rPr>
        <w:t xml:space="preserve"> </w:t>
      </w:r>
      <w:r w:rsidRPr="00901FD9">
        <w:rPr>
          <w:b/>
          <w:bCs/>
        </w:rPr>
        <w:t xml:space="preserve">(the </w:t>
      </w:r>
      <w:r>
        <w:rPr>
          <w:b/>
          <w:bCs/>
        </w:rPr>
        <w:t xml:space="preserve">“Tender </w:t>
      </w:r>
      <w:r w:rsidRPr="00901FD9">
        <w:rPr>
          <w:b/>
          <w:bCs/>
        </w:rPr>
        <w:t>Offer</w:t>
      </w:r>
      <w:r>
        <w:rPr>
          <w:b/>
          <w:bCs/>
        </w:rPr>
        <w:t>”</w:t>
      </w:r>
      <w:r w:rsidRPr="00901FD9">
        <w:rPr>
          <w:b/>
          <w:bCs/>
        </w:rPr>
        <w:t>)</w:t>
      </w:r>
    </w:p>
    <w:p w:rsidR="006C479B" w:rsidP="006C479B" w:rsidRDefault="006C479B" w14:paraId="2CB6971E" w14:textId="77777777">
      <w:pPr>
        <w:pStyle w:val="Body"/>
        <w:contextualSpacing/>
        <w:jc w:val="center"/>
        <w:rPr>
          <w:b/>
          <w:bCs/>
        </w:rPr>
      </w:pPr>
    </w:p>
    <w:p w:rsidR="00FB30D6" w:rsidP="006C479B" w:rsidRDefault="00FB30D6" w14:paraId="380D829A" w14:textId="162443E5">
      <w:pPr>
        <w:pStyle w:val="Body"/>
        <w:jc w:val="center"/>
        <w:rPr>
          <w:sz w:val="18"/>
          <w:szCs w:val="18"/>
        </w:rPr>
      </w:pPr>
      <w:r w:rsidRPr="006C479B">
        <w:rPr>
          <w:sz w:val="18"/>
          <w:szCs w:val="18"/>
        </w:rPr>
        <w:t xml:space="preserve">all as further described, and subject to the terms set out, in this </w:t>
      </w:r>
      <w:r w:rsidR="005C4C34">
        <w:rPr>
          <w:sz w:val="18"/>
          <w:szCs w:val="18"/>
        </w:rPr>
        <w:t>Tender Offer Memorandum</w:t>
      </w:r>
    </w:p>
    <w:p w:rsidRPr="006C479B" w:rsidR="0070370F" w:rsidP="00BF5EBB" w:rsidRDefault="00BF5EBB" w14:paraId="49DDD3CD" w14:textId="171D3F66">
      <w:pPr>
        <w:pStyle w:val="Body"/>
        <w:rPr>
          <w:sz w:val="18"/>
          <w:szCs w:val="18"/>
        </w:rPr>
      </w:pPr>
      <w:r>
        <w:rPr>
          <w:sz w:val="18"/>
          <w:szCs w:val="18"/>
        </w:rPr>
        <w:t xml:space="preserve">The Notes subject </w:t>
      </w:r>
      <w:r w:rsidR="001C1ED5">
        <w:rPr>
          <w:sz w:val="18"/>
          <w:szCs w:val="18"/>
        </w:rPr>
        <w:t xml:space="preserve">to </w:t>
      </w:r>
      <w:r>
        <w:rPr>
          <w:sz w:val="18"/>
          <w:szCs w:val="18"/>
        </w:rPr>
        <w:t xml:space="preserve">the Tender Offer and certain key terms are set out in the table below. </w:t>
      </w:r>
    </w:p>
    <w:tbl>
      <w:tblPr>
        <w:tblStyle w:val="TableGrid"/>
        <w:tblW w:w="4621" w:type="pct"/>
        <w:tblInd w:w="432" w:type="dxa"/>
        <w:tblLook w:val="04A0" w:firstRow="1" w:lastRow="0" w:firstColumn="1" w:lastColumn="0" w:noHBand="0" w:noVBand="1"/>
      </w:tblPr>
      <w:tblGrid>
        <w:gridCol w:w="1087"/>
        <w:gridCol w:w="1299"/>
        <w:gridCol w:w="1722"/>
        <w:gridCol w:w="1199"/>
        <w:gridCol w:w="1563"/>
        <w:gridCol w:w="1679"/>
      </w:tblGrid>
      <w:tr w:rsidRPr="006D5942" w:rsidR="0054443E" w:rsidTr="0054443E" w14:paraId="0DA2A9F5" w14:textId="77777777">
        <w:trPr>
          <w:trHeight w:val="834"/>
          <w:tblHeader/>
        </w:trPr>
        <w:tc>
          <w:tcPr>
            <w:tcW w:w="636" w:type="pct"/>
            <w:tcBorders>
              <w:bottom w:val="single" w:color="auto" w:sz="4" w:space="0"/>
            </w:tcBorders>
            <w:vAlign w:val="center"/>
          </w:tcPr>
          <w:p w:rsidRPr="006D5942" w:rsidR="0054443E" w:rsidP="000724F7" w:rsidRDefault="0054443E" w14:paraId="20530020" w14:textId="31068764">
            <w:pPr>
              <w:pStyle w:val="CellHead"/>
              <w:jc w:val="center"/>
              <w:rPr>
                <w:sz w:val="16"/>
                <w:szCs w:val="16"/>
              </w:rPr>
            </w:pPr>
            <w:r w:rsidRPr="006D5942">
              <w:rPr>
                <w:sz w:val="16"/>
                <w:szCs w:val="16"/>
              </w:rPr>
              <w:t>Description of the Notes</w:t>
            </w:r>
          </w:p>
        </w:tc>
        <w:tc>
          <w:tcPr>
            <w:tcW w:w="760" w:type="pct"/>
            <w:tcBorders>
              <w:bottom w:val="single" w:color="auto" w:sz="4" w:space="0"/>
            </w:tcBorders>
            <w:vAlign w:val="center"/>
          </w:tcPr>
          <w:p w:rsidRPr="006D5942" w:rsidR="0054443E" w:rsidP="000724F7" w:rsidRDefault="0054443E" w14:paraId="2B389A60" w14:textId="77777777">
            <w:pPr>
              <w:pStyle w:val="CellHead"/>
              <w:jc w:val="center"/>
              <w:rPr>
                <w:sz w:val="16"/>
                <w:szCs w:val="16"/>
              </w:rPr>
            </w:pPr>
            <w:r w:rsidRPr="006D5942">
              <w:rPr>
                <w:sz w:val="16"/>
                <w:szCs w:val="16"/>
              </w:rPr>
              <w:t>ISIN / Common Code</w:t>
            </w:r>
          </w:p>
        </w:tc>
        <w:tc>
          <w:tcPr>
            <w:tcW w:w="1007" w:type="pct"/>
            <w:tcBorders>
              <w:bottom w:val="single" w:color="auto" w:sz="4" w:space="0"/>
            </w:tcBorders>
            <w:vAlign w:val="center"/>
          </w:tcPr>
          <w:p w:rsidRPr="006D5942" w:rsidR="0054443E" w:rsidP="000724F7" w:rsidRDefault="0054443E" w14:paraId="35872B0B" w14:textId="17713FC8">
            <w:pPr>
              <w:pStyle w:val="CellHead"/>
              <w:jc w:val="center"/>
              <w:rPr>
                <w:sz w:val="16"/>
                <w:szCs w:val="16"/>
              </w:rPr>
            </w:pPr>
            <w:r w:rsidRPr="006D5942">
              <w:rPr>
                <w:sz w:val="16"/>
                <w:szCs w:val="16"/>
              </w:rPr>
              <w:t>Outstanding Principal Amount</w:t>
            </w:r>
            <w:r w:rsidRPr="00773BBA" w:rsidR="00773BBA">
              <w:rPr>
                <w:sz w:val="16"/>
                <w:szCs w:val="16"/>
                <w:vertAlign w:val="superscript"/>
              </w:rPr>
              <w:t>(1)</w:t>
            </w:r>
          </w:p>
        </w:tc>
        <w:tc>
          <w:tcPr>
            <w:tcW w:w="701" w:type="pct"/>
            <w:tcBorders>
              <w:bottom w:val="single" w:color="auto" w:sz="4" w:space="0"/>
            </w:tcBorders>
            <w:vAlign w:val="center"/>
          </w:tcPr>
          <w:p w:rsidRPr="006D5942" w:rsidR="0054443E" w:rsidP="000724F7" w:rsidRDefault="0054443E" w14:paraId="1D8B1A7E" w14:textId="7E5A8CCF">
            <w:pPr>
              <w:pStyle w:val="CellHead"/>
              <w:jc w:val="center"/>
              <w:rPr>
                <w:sz w:val="16"/>
                <w:szCs w:val="16"/>
              </w:rPr>
            </w:pPr>
            <w:r w:rsidRPr="006D5942">
              <w:rPr>
                <w:sz w:val="16"/>
                <w:szCs w:val="16"/>
              </w:rPr>
              <w:t>Minimum Purchase Price</w:t>
            </w:r>
          </w:p>
        </w:tc>
        <w:tc>
          <w:tcPr>
            <w:tcW w:w="914" w:type="pct"/>
            <w:tcBorders>
              <w:bottom w:val="single" w:color="auto" w:sz="4" w:space="0"/>
            </w:tcBorders>
            <w:vAlign w:val="center"/>
          </w:tcPr>
          <w:p w:rsidRPr="006D5942" w:rsidR="0054443E" w:rsidP="000724F7" w:rsidRDefault="0054443E" w14:paraId="7189C33C" w14:textId="77777777">
            <w:pPr>
              <w:pStyle w:val="CellHead"/>
              <w:jc w:val="center"/>
              <w:rPr>
                <w:sz w:val="16"/>
                <w:szCs w:val="16"/>
              </w:rPr>
            </w:pPr>
            <w:r w:rsidRPr="006D5942">
              <w:rPr>
                <w:sz w:val="16"/>
                <w:szCs w:val="16"/>
              </w:rPr>
              <w:t>Purchase Price</w:t>
            </w:r>
          </w:p>
        </w:tc>
        <w:tc>
          <w:tcPr>
            <w:tcW w:w="983" w:type="pct"/>
            <w:tcBorders>
              <w:bottom w:val="single" w:color="auto" w:sz="4" w:space="0"/>
            </w:tcBorders>
            <w:vAlign w:val="center"/>
          </w:tcPr>
          <w:p w:rsidRPr="006D5942" w:rsidR="0054443E" w:rsidP="000724F7" w:rsidRDefault="0054443E" w14:paraId="4D13DA18" w14:textId="77777777">
            <w:pPr>
              <w:pStyle w:val="CellHead"/>
              <w:jc w:val="center"/>
              <w:rPr>
                <w:sz w:val="16"/>
                <w:szCs w:val="16"/>
              </w:rPr>
            </w:pPr>
            <w:r w:rsidRPr="006D5942">
              <w:rPr>
                <w:sz w:val="16"/>
                <w:szCs w:val="16"/>
              </w:rPr>
              <w:t>Maximum Acceptance Amount</w:t>
            </w:r>
          </w:p>
        </w:tc>
      </w:tr>
      <w:tr w:rsidRPr="000B3EFB" w:rsidR="0054443E" w:rsidTr="0054443E" w14:paraId="20569BBF" w14:textId="77777777">
        <w:trPr>
          <w:trHeight w:val="1419"/>
        </w:trPr>
        <w:tc>
          <w:tcPr>
            <w:tcW w:w="636" w:type="pct"/>
            <w:vAlign w:val="center"/>
          </w:tcPr>
          <w:p w:rsidRPr="000B3EFB" w:rsidR="0054443E" w:rsidP="000724F7" w:rsidRDefault="0054443E" w14:paraId="345ECA50" w14:textId="77777777">
            <w:pPr>
              <w:pStyle w:val="CellBody"/>
              <w:jc w:val="center"/>
              <w:rPr>
                <w:sz w:val="16"/>
                <w:szCs w:val="16"/>
              </w:rPr>
            </w:pPr>
            <w:r w:rsidRPr="000B3EFB">
              <w:rPr>
                <w:sz w:val="16"/>
                <w:szCs w:val="16"/>
              </w:rPr>
              <w:t>7.0/7.5% Senior Secured PIK Toggle Notes due 2027</w:t>
            </w:r>
          </w:p>
        </w:tc>
        <w:tc>
          <w:tcPr>
            <w:tcW w:w="760" w:type="pct"/>
            <w:vAlign w:val="center"/>
          </w:tcPr>
          <w:p w:rsidRPr="000B3EFB" w:rsidR="0054443E" w:rsidP="000724F7" w:rsidRDefault="0054443E" w14:paraId="33841C48" w14:textId="77777777">
            <w:pPr>
              <w:pStyle w:val="CellBody"/>
              <w:jc w:val="center"/>
              <w:rPr>
                <w:sz w:val="16"/>
                <w:szCs w:val="16"/>
              </w:rPr>
            </w:pPr>
            <w:r w:rsidRPr="000B3EFB">
              <w:rPr>
                <w:sz w:val="16"/>
                <w:szCs w:val="16"/>
              </w:rPr>
              <w:t>XS2342930521</w:t>
            </w:r>
          </w:p>
        </w:tc>
        <w:tc>
          <w:tcPr>
            <w:tcW w:w="1007" w:type="pct"/>
            <w:vAlign w:val="center"/>
          </w:tcPr>
          <w:p w:rsidR="00053D93" w:rsidP="000724F7" w:rsidRDefault="0054443E" w14:paraId="764D8259" w14:textId="77777777">
            <w:pPr>
              <w:pStyle w:val="CellBody"/>
              <w:jc w:val="center"/>
              <w:rPr>
                <w:sz w:val="16"/>
                <w:szCs w:val="16"/>
              </w:rPr>
            </w:pPr>
            <w:r w:rsidRPr="000B3EFB">
              <w:rPr>
                <w:sz w:val="16"/>
                <w:szCs w:val="16"/>
              </w:rPr>
              <w:t>U.S.$</w:t>
            </w:r>
            <w:r w:rsidRPr="00053D93" w:rsidR="00053D93">
              <w:rPr>
                <w:sz w:val="16"/>
                <w:szCs w:val="16"/>
              </w:rPr>
              <w:t>1,506,874,012</w:t>
            </w:r>
          </w:p>
          <w:p w:rsidRPr="000B3EFB" w:rsidR="0054443E" w:rsidP="000724F7" w:rsidRDefault="0054443E" w14:paraId="6E3DB8FD" w14:textId="221BEEB1">
            <w:pPr>
              <w:pStyle w:val="CellBody"/>
              <w:jc w:val="center"/>
              <w:rPr>
                <w:sz w:val="16"/>
                <w:szCs w:val="16"/>
              </w:rPr>
            </w:pPr>
          </w:p>
        </w:tc>
        <w:tc>
          <w:tcPr>
            <w:tcW w:w="701" w:type="pct"/>
            <w:vAlign w:val="center"/>
          </w:tcPr>
          <w:p w:rsidRPr="000B3EFB" w:rsidR="0054443E" w:rsidP="000724F7" w:rsidRDefault="0054443E" w14:paraId="50EEC303" w14:textId="087A5300">
            <w:pPr>
              <w:pStyle w:val="CellBody"/>
              <w:jc w:val="center"/>
              <w:rPr>
                <w:sz w:val="16"/>
                <w:szCs w:val="16"/>
              </w:rPr>
            </w:pPr>
            <w:r w:rsidRPr="000B3EFB">
              <w:rPr>
                <w:sz w:val="16"/>
                <w:szCs w:val="16"/>
              </w:rPr>
              <w:t>U.S.$0 per U.S.$1,000 in principal amount of the Notes</w:t>
            </w:r>
          </w:p>
        </w:tc>
        <w:tc>
          <w:tcPr>
            <w:tcW w:w="914" w:type="pct"/>
            <w:vAlign w:val="center"/>
          </w:tcPr>
          <w:p w:rsidRPr="000B3EFB" w:rsidR="0054443E" w:rsidP="000724F7" w:rsidRDefault="0054443E" w14:paraId="368D3534" w14:textId="77777777">
            <w:pPr>
              <w:pStyle w:val="CellBody"/>
              <w:jc w:val="center"/>
              <w:rPr>
                <w:sz w:val="16"/>
                <w:szCs w:val="16"/>
              </w:rPr>
            </w:pPr>
            <w:r w:rsidRPr="000B3EFB">
              <w:rPr>
                <w:sz w:val="16"/>
                <w:szCs w:val="16"/>
              </w:rPr>
              <w:t>To be determined as set out herein pursuant to an unmodified Dutch auction procedure</w:t>
            </w:r>
          </w:p>
        </w:tc>
        <w:tc>
          <w:tcPr>
            <w:tcW w:w="983" w:type="pct"/>
            <w:vAlign w:val="center"/>
          </w:tcPr>
          <w:p w:rsidRPr="000B3EFB" w:rsidR="0054443E" w:rsidP="000724F7" w:rsidRDefault="0054443E" w14:paraId="623EDAA3" w14:textId="0C33F35F">
            <w:pPr>
              <w:pStyle w:val="CellBody"/>
              <w:jc w:val="center"/>
              <w:rPr>
                <w:sz w:val="16"/>
                <w:szCs w:val="16"/>
              </w:rPr>
            </w:pPr>
            <w:r w:rsidRPr="000B3EFB">
              <w:rPr>
                <w:sz w:val="16"/>
                <w:szCs w:val="16"/>
              </w:rPr>
              <w:t>U.S.$</w:t>
            </w:r>
            <w:r>
              <w:rPr>
                <w:sz w:val="16"/>
                <w:szCs w:val="16"/>
              </w:rPr>
              <w:t>30,000,000</w:t>
            </w:r>
          </w:p>
        </w:tc>
      </w:tr>
    </w:tbl>
    <w:p w:rsidRPr="000B3EFB" w:rsidR="005866A4" w:rsidP="005866A4" w:rsidRDefault="005866A4" w14:paraId="120B9357" w14:textId="24A0B613">
      <w:pPr>
        <w:pStyle w:val="wText"/>
        <w:spacing w:after="0"/>
        <w:ind w:left="432"/>
        <w:rPr>
          <w:i/>
          <w:iCs/>
          <w:sz w:val="17"/>
          <w:szCs w:val="17"/>
          <w:lang w:val="en-GB"/>
        </w:rPr>
      </w:pPr>
      <w:r w:rsidRPr="000B3EFB">
        <w:rPr>
          <w:sz w:val="18"/>
          <w:szCs w:val="18"/>
          <w:lang w:val="en-GB"/>
        </w:rPr>
        <w:t xml:space="preserve">         __________</w:t>
      </w:r>
      <w:r w:rsidRPr="000B3EFB">
        <w:rPr>
          <w:sz w:val="18"/>
          <w:szCs w:val="18"/>
          <w:lang w:val="en-GB"/>
        </w:rPr>
        <w:br/>
      </w:r>
      <w:r w:rsidRPr="000B3EFB">
        <w:rPr>
          <w:sz w:val="16"/>
          <w:szCs w:val="16"/>
          <w:lang w:val="en-GB"/>
        </w:rPr>
        <w:t xml:space="preserve">           (1)   </w:t>
      </w:r>
      <w:r w:rsidRPr="000B3EFB" w:rsidR="00130657">
        <w:rPr>
          <w:sz w:val="16"/>
          <w:szCs w:val="16"/>
          <w:lang w:val="en-GB"/>
        </w:rPr>
        <w:t>of which U.S.$</w:t>
      </w:r>
      <w:r w:rsidRPr="00126959" w:rsidR="00126959">
        <w:rPr>
          <w:sz w:val="16"/>
          <w:szCs w:val="16"/>
          <w:lang w:val="en-GB"/>
        </w:rPr>
        <w:t xml:space="preserve">79,508,689 </w:t>
      </w:r>
      <w:r w:rsidRPr="000B3EFB" w:rsidR="00DD18D0">
        <w:rPr>
          <w:sz w:val="16"/>
          <w:szCs w:val="16"/>
          <w:lang w:val="en-GB"/>
        </w:rPr>
        <w:t>is</w:t>
      </w:r>
      <w:r w:rsidRPr="000B3EFB" w:rsidR="00130657">
        <w:rPr>
          <w:sz w:val="16"/>
          <w:szCs w:val="16"/>
          <w:lang w:val="en-GB"/>
        </w:rPr>
        <w:t xml:space="preserve"> held by </w:t>
      </w:r>
      <w:r w:rsidRPr="000B3EFB" w:rsidR="00DD18D0">
        <w:rPr>
          <w:sz w:val="16"/>
          <w:szCs w:val="16"/>
          <w:lang w:val="en-GB"/>
        </w:rPr>
        <w:t xml:space="preserve">the Offeror </w:t>
      </w:r>
      <w:r w:rsidRPr="000B3EFB" w:rsidR="00130657">
        <w:rPr>
          <w:sz w:val="16"/>
          <w:szCs w:val="16"/>
          <w:lang w:val="en-GB"/>
        </w:rPr>
        <w:t xml:space="preserve">and </w:t>
      </w:r>
      <w:r w:rsidRPr="000B3EFB" w:rsidR="00DD18D0">
        <w:rPr>
          <w:sz w:val="16"/>
          <w:szCs w:val="16"/>
          <w:lang w:val="en-GB"/>
        </w:rPr>
        <w:t>is not</w:t>
      </w:r>
      <w:r w:rsidRPr="000B3EFB" w:rsidR="00130657">
        <w:rPr>
          <w:sz w:val="16"/>
          <w:szCs w:val="16"/>
          <w:lang w:val="en-GB"/>
        </w:rPr>
        <w:t xml:space="preserve"> outstanding for the purposes of the Indenture</w:t>
      </w:r>
      <w:r w:rsidRPr="000B3EFB">
        <w:rPr>
          <w:sz w:val="16"/>
          <w:szCs w:val="16"/>
          <w:lang w:val="en-GB"/>
        </w:rPr>
        <w:t>.</w:t>
      </w:r>
    </w:p>
    <w:p w:rsidRPr="000B3EFB" w:rsidR="00C4543C" w:rsidP="00BB327E" w:rsidRDefault="00C4543C" w14:paraId="14276027" w14:textId="74A91523">
      <w:pPr>
        <w:pStyle w:val="Body"/>
        <w:rPr>
          <w:sz w:val="8"/>
          <w:szCs w:val="8"/>
        </w:rPr>
      </w:pPr>
    </w:p>
    <w:tbl>
      <w:tblPr>
        <w:tblW w:w="9270"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270"/>
      </w:tblGrid>
      <w:tr w:rsidRPr="00EE556C" w:rsidR="00FB30D6" w:rsidTr="00EE556C" w14:paraId="193F51CC" w14:textId="77777777">
        <w:trPr>
          <w:trHeight w:val="2431"/>
        </w:trPr>
        <w:tc>
          <w:tcPr>
            <w:tcW w:w="9270" w:type="dxa"/>
            <w:tcBorders>
              <w:top w:val="nil"/>
              <w:left w:val="nil"/>
              <w:bottom w:val="nil"/>
              <w:right w:val="nil"/>
            </w:tcBorders>
          </w:tcPr>
          <w:p w:rsidRPr="000B3EFB" w:rsidR="00FB30D6" w:rsidP="00FB30D6" w:rsidRDefault="00FB30D6" w14:paraId="7B7CB627" w14:textId="1FD913C4">
            <w:pPr>
              <w:pStyle w:val="Covertext"/>
              <w:rPr>
                <w:b/>
                <w:bCs/>
                <w:sz w:val="20"/>
              </w:rPr>
            </w:pPr>
            <w:bookmarkStart w:name="Narrative" w:id="5"/>
            <w:bookmarkEnd w:id="5"/>
            <w:r w:rsidRPr="000B3EFB">
              <w:rPr>
                <w:b/>
                <w:bCs/>
                <w:sz w:val="20"/>
              </w:rPr>
              <w:t>THE TENDER OFFER BEGIN</w:t>
            </w:r>
            <w:r w:rsidRPr="000B3EFB" w:rsidR="008439B0">
              <w:rPr>
                <w:b/>
                <w:bCs/>
                <w:sz w:val="20"/>
              </w:rPr>
              <w:t>S</w:t>
            </w:r>
            <w:r w:rsidRPr="000B3EFB">
              <w:rPr>
                <w:b/>
                <w:bCs/>
                <w:sz w:val="20"/>
              </w:rPr>
              <w:t xml:space="preserve"> ON THE DATE OF THIS </w:t>
            </w:r>
            <w:r w:rsidRPr="000B3EFB" w:rsidR="005C4C34">
              <w:rPr>
                <w:b/>
                <w:bCs/>
                <w:sz w:val="20"/>
              </w:rPr>
              <w:t>TENDER OFFER MEMORANDUM</w:t>
            </w:r>
            <w:r w:rsidRPr="000B3EFB">
              <w:rPr>
                <w:b/>
                <w:bCs/>
                <w:sz w:val="20"/>
              </w:rPr>
              <w:t xml:space="preserve"> AND WILL EXPIRE AT </w:t>
            </w:r>
            <w:r w:rsidRPr="000B3EFB" w:rsidR="008D287E">
              <w:rPr>
                <w:b/>
                <w:bCs/>
                <w:sz w:val="20"/>
              </w:rPr>
              <w:t>5</w:t>
            </w:r>
            <w:r w:rsidRPr="000B3EFB">
              <w:rPr>
                <w:b/>
                <w:bCs/>
                <w:sz w:val="20"/>
              </w:rPr>
              <w:t>:00 P.M. (</w:t>
            </w:r>
            <w:r w:rsidRPr="000B3EFB" w:rsidR="001B3FBF">
              <w:rPr>
                <w:b/>
                <w:bCs/>
                <w:sz w:val="20"/>
              </w:rPr>
              <w:t>LONDON</w:t>
            </w:r>
            <w:r w:rsidRPr="000B3EFB">
              <w:rPr>
                <w:b/>
                <w:bCs/>
                <w:sz w:val="20"/>
              </w:rPr>
              <w:t xml:space="preserve"> TIME) ON </w:t>
            </w:r>
            <w:r w:rsidR="009911C4">
              <w:rPr>
                <w:b/>
                <w:bCs/>
                <w:sz w:val="20"/>
              </w:rPr>
              <w:t>20 MARCH 2</w:t>
            </w:r>
            <w:r w:rsidRPr="000B3EFB">
              <w:rPr>
                <w:b/>
                <w:bCs/>
                <w:sz w:val="20"/>
              </w:rPr>
              <w:t>02</w:t>
            </w:r>
            <w:r w:rsidRPr="000B3EFB" w:rsidR="008439B0">
              <w:rPr>
                <w:b/>
                <w:bCs/>
                <w:sz w:val="20"/>
              </w:rPr>
              <w:t>3</w:t>
            </w:r>
            <w:r w:rsidRPr="000B3EFB">
              <w:rPr>
                <w:b/>
                <w:bCs/>
                <w:sz w:val="20"/>
              </w:rPr>
              <w:t xml:space="preserve"> (SUCH TIME AND DATE, AS THE SAME MAY BE EXTENDED IN </w:t>
            </w:r>
            <w:r w:rsidRPr="000B3EFB" w:rsidR="002E1787">
              <w:rPr>
                <w:b/>
                <w:bCs/>
                <w:sz w:val="20"/>
              </w:rPr>
              <w:t>THE OFFEROR</w:t>
            </w:r>
            <w:r w:rsidRPr="000B3EFB" w:rsidR="008439B0">
              <w:rPr>
                <w:b/>
                <w:bCs/>
                <w:sz w:val="20"/>
              </w:rPr>
              <w:t xml:space="preserve">’S </w:t>
            </w:r>
            <w:r w:rsidRPr="000B3EFB">
              <w:rPr>
                <w:b/>
                <w:bCs/>
                <w:sz w:val="20"/>
              </w:rPr>
              <w:t xml:space="preserve">SOLE DISCRETION, THE “EXPIRATION DEADLINE”). NOTEHOLDERS MUST VALIDLY TENDER THEIR NOTES AT OR PRIOR TO THE EXPIRATION DEADLINE TO </w:t>
            </w:r>
            <w:r w:rsidRPr="000B3EFB" w:rsidR="002F75E6">
              <w:rPr>
                <w:b/>
                <w:bCs/>
                <w:sz w:val="20"/>
              </w:rPr>
              <w:t>PARTICIPATE IN THE TENDER OFFER</w:t>
            </w:r>
            <w:r w:rsidRPr="000B3EFB">
              <w:rPr>
                <w:b/>
                <w:bCs/>
                <w:sz w:val="20"/>
              </w:rPr>
              <w:t>.</w:t>
            </w:r>
          </w:p>
          <w:p w:rsidRPr="00EE556C" w:rsidR="00FB30D6" w:rsidP="00BB327E" w:rsidRDefault="00FB30D6" w14:paraId="6548144A" w14:textId="622A644F">
            <w:pPr>
              <w:pStyle w:val="Covertext"/>
              <w:rPr>
                <w:b/>
                <w:bCs/>
                <w:sz w:val="14"/>
                <w:szCs w:val="14"/>
              </w:rPr>
            </w:pPr>
            <w:r w:rsidRPr="000B3EFB">
              <w:rPr>
                <w:b/>
                <w:bCs/>
                <w:sz w:val="20"/>
              </w:rPr>
              <w:t xml:space="preserve">DIRECT PARTICIPANTS, CLEARING SYSTEMS AND THEIR INTERMEDIARIES WILL HAVE DEADLINES FOR RECEIVING INSTRUCTIONS </w:t>
            </w:r>
            <w:r w:rsidRPr="000B3EFB" w:rsidR="006C479B">
              <w:rPr>
                <w:b/>
                <w:bCs/>
                <w:sz w:val="20"/>
              </w:rPr>
              <w:t xml:space="preserve">EARLIER THAN </w:t>
            </w:r>
            <w:r w:rsidRPr="000B3EFB">
              <w:rPr>
                <w:b/>
                <w:bCs/>
                <w:sz w:val="20"/>
              </w:rPr>
              <w:t>THE EXPIRATION DEADLINE AND NOTEHOLDERS SHOULD CONTACT THE INTERMEDIARY THROUGH WHICH THEY HOLD THEIR NOTES AS SOON AS POSSIBLE TO ENSURE PROPER AND TIMELY DELIVERY OF INSTRUCTIONS.</w:t>
            </w:r>
          </w:p>
        </w:tc>
      </w:tr>
    </w:tbl>
    <w:p w:rsidR="00FB30D6" w:rsidRDefault="00FB30D6" w14:paraId="7F2B4702" w14:textId="77777777">
      <w:pPr>
        <w:pStyle w:val="Body"/>
        <w:sectPr w:rsidR="00FB30D6" w:rsidSect="008830BF">
          <w:pgSz w:w="11907" w:h="16840" w:orient="portrait" w:code="9"/>
          <w:pgMar w:top="1412" w:right="1366" w:bottom="1985" w:left="1281" w:header="1049" w:footer="795" w:gutter="0"/>
          <w:pgNumType w:start="1"/>
          <w:cols w:space="720"/>
        </w:sectPr>
      </w:pPr>
    </w:p>
    <w:p w:rsidR="002857DE" w:rsidP="002857DE" w:rsidRDefault="002857DE" w14:paraId="745312C9" w14:textId="77777777">
      <w:pPr>
        <w:pStyle w:val="TOCHead"/>
      </w:pPr>
      <w:bookmarkStart w:name="_Toc122976041" w:id="6"/>
      <w:bookmarkEnd w:id="1"/>
      <w:r w:rsidRPr="00A41B03">
        <w:lastRenderedPageBreak/>
        <w:t>TABLE OF CONTENTS</w:t>
      </w:r>
      <w:bookmarkEnd w:id="6"/>
    </w:p>
    <w:p w:rsidRPr="00DC2166" w:rsidR="002857DE" w:rsidP="002857DE" w:rsidRDefault="002857DE" w14:paraId="3204A121" w14:textId="77777777">
      <w:pPr>
        <w:pStyle w:val="Body"/>
        <w:jc w:val="right"/>
        <w:rPr>
          <w:b/>
        </w:rPr>
      </w:pPr>
      <w:r>
        <w:rPr>
          <w:b/>
        </w:rPr>
        <w:t>Page</w:t>
      </w:r>
    </w:p>
    <w:p w:rsidR="009662A4" w:rsidP="009662A4" w:rsidRDefault="009662A4" w14:paraId="1F3BFEFD" w14:textId="4D9FF1FF">
      <w:pPr>
        <w:pStyle w:val="TOC1"/>
        <w:tabs>
          <w:tab w:val="right" w:leader="dot" w:pos="9249"/>
        </w:tabs>
        <w:rPr>
          <w:rFonts w:asciiTheme="minorHAnsi" w:hAnsiTheme="minorHAnsi" w:eastAsiaTheme="minorEastAsia" w:cstheme="minorBidi"/>
          <w:noProof/>
          <w:kern w:val="0"/>
          <w:sz w:val="22"/>
          <w:szCs w:val="22"/>
          <w:lang w:val="uk-UA" w:eastAsia="uk-UA"/>
        </w:rPr>
      </w:pPr>
      <w:r>
        <w:fldChar w:fldCharType="begin"/>
      </w:r>
      <w:r>
        <w:instrText xml:space="preserve"> TOC \o "1-1" </w:instrText>
      </w:r>
      <w:r>
        <w:fldChar w:fldCharType="separate"/>
      </w:r>
    </w:p>
    <w:p w:rsidR="009662A4" w:rsidRDefault="009662A4" w14:paraId="5BB1E2DC" w14:textId="224720B4">
      <w:pPr>
        <w:pStyle w:val="TOC1"/>
        <w:tabs>
          <w:tab w:val="right" w:leader="dot" w:pos="9249"/>
        </w:tabs>
        <w:rPr>
          <w:rFonts w:asciiTheme="minorHAnsi" w:hAnsiTheme="minorHAnsi" w:eastAsiaTheme="minorEastAsia" w:cstheme="minorBidi"/>
          <w:noProof/>
          <w:kern w:val="0"/>
          <w:sz w:val="22"/>
          <w:szCs w:val="22"/>
          <w:lang w:val="uk-UA" w:eastAsia="uk-UA"/>
        </w:rPr>
      </w:pPr>
      <w:r>
        <w:rPr>
          <w:noProof/>
        </w:rPr>
        <w:t>SUMMARY OF THE TENDER OFFER</w:t>
      </w:r>
      <w:r>
        <w:rPr>
          <w:noProof/>
        </w:rPr>
        <w:tab/>
      </w:r>
      <w:r>
        <w:rPr>
          <w:noProof/>
        </w:rPr>
        <w:fldChar w:fldCharType="begin"/>
      </w:r>
      <w:r>
        <w:rPr>
          <w:noProof/>
        </w:rPr>
        <w:instrText xml:space="preserve"> PAGEREF _Toc122976042 \h </w:instrText>
      </w:r>
      <w:r>
        <w:rPr>
          <w:noProof/>
        </w:rPr>
      </w:r>
      <w:r>
        <w:rPr>
          <w:noProof/>
        </w:rPr>
        <w:fldChar w:fldCharType="separate"/>
      </w:r>
      <w:r>
        <w:rPr>
          <w:noProof/>
        </w:rPr>
        <w:t>3</w:t>
      </w:r>
      <w:r>
        <w:rPr>
          <w:noProof/>
        </w:rPr>
        <w:fldChar w:fldCharType="end"/>
      </w:r>
    </w:p>
    <w:p w:rsidR="009662A4" w:rsidRDefault="009662A4" w14:paraId="5258FF8B" w14:textId="2CE4A0CA">
      <w:pPr>
        <w:pStyle w:val="TOC1"/>
        <w:tabs>
          <w:tab w:val="right" w:leader="dot" w:pos="9249"/>
        </w:tabs>
        <w:rPr>
          <w:rFonts w:asciiTheme="minorHAnsi" w:hAnsiTheme="minorHAnsi" w:eastAsiaTheme="minorEastAsia" w:cstheme="minorBidi"/>
          <w:noProof/>
          <w:kern w:val="0"/>
          <w:sz w:val="22"/>
          <w:szCs w:val="22"/>
          <w:lang w:val="uk-UA" w:eastAsia="uk-UA"/>
        </w:rPr>
      </w:pPr>
      <w:r>
        <w:rPr>
          <w:noProof/>
        </w:rPr>
        <w:t>OFFER AND DISTRIBUTION RESTRICTIONS</w:t>
      </w:r>
      <w:r>
        <w:rPr>
          <w:noProof/>
        </w:rPr>
        <w:tab/>
      </w:r>
      <w:r>
        <w:rPr>
          <w:noProof/>
        </w:rPr>
        <w:fldChar w:fldCharType="begin"/>
      </w:r>
      <w:r>
        <w:rPr>
          <w:noProof/>
        </w:rPr>
        <w:instrText xml:space="preserve"> PAGEREF _Toc122976043 \h </w:instrText>
      </w:r>
      <w:r>
        <w:rPr>
          <w:noProof/>
        </w:rPr>
      </w:r>
      <w:r>
        <w:rPr>
          <w:noProof/>
        </w:rPr>
        <w:fldChar w:fldCharType="separate"/>
      </w:r>
      <w:r>
        <w:rPr>
          <w:noProof/>
        </w:rPr>
        <w:t>5</w:t>
      </w:r>
      <w:r>
        <w:rPr>
          <w:noProof/>
        </w:rPr>
        <w:fldChar w:fldCharType="end"/>
      </w:r>
    </w:p>
    <w:p w:rsidR="009662A4" w:rsidRDefault="009662A4" w14:paraId="43C5A711" w14:textId="49182998">
      <w:pPr>
        <w:pStyle w:val="TOC1"/>
        <w:tabs>
          <w:tab w:val="right" w:leader="dot" w:pos="9249"/>
        </w:tabs>
        <w:rPr>
          <w:rFonts w:asciiTheme="minorHAnsi" w:hAnsiTheme="minorHAnsi" w:eastAsiaTheme="minorEastAsia" w:cstheme="minorBidi"/>
          <w:noProof/>
          <w:kern w:val="0"/>
          <w:sz w:val="22"/>
          <w:szCs w:val="22"/>
          <w:lang w:val="uk-UA" w:eastAsia="uk-UA"/>
        </w:rPr>
      </w:pPr>
      <w:r>
        <w:rPr>
          <w:noProof/>
        </w:rPr>
        <w:t>GENERAL</w:t>
      </w:r>
      <w:r>
        <w:rPr>
          <w:noProof/>
        </w:rPr>
        <w:tab/>
      </w:r>
      <w:r>
        <w:rPr>
          <w:noProof/>
        </w:rPr>
        <w:fldChar w:fldCharType="begin"/>
      </w:r>
      <w:r>
        <w:rPr>
          <w:noProof/>
        </w:rPr>
        <w:instrText xml:space="preserve"> PAGEREF _Toc122976049 \h </w:instrText>
      </w:r>
      <w:r>
        <w:rPr>
          <w:noProof/>
        </w:rPr>
      </w:r>
      <w:r>
        <w:rPr>
          <w:noProof/>
        </w:rPr>
        <w:fldChar w:fldCharType="separate"/>
      </w:r>
      <w:r>
        <w:rPr>
          <w:noProof/>
        </w:rPr>
        <w:t>7</w:t>
      </w:r>
      <w:r>
        <w:rPr>
          <w:noProof/>
        </w:rPr>
        <w:fldChar w:fldCharType="end"/>
      </w:r>
    </w:p>
    <w:p w:rsidR="009662A4" w:rsidRDefault="009662A4" w14:paraId="10A7051B" w14:textId="14DE3FB3">
      <w:pPr>
        <w:pStyle w:val="TOC1"/>
        <w:tabs>
          <w:tab w:val="right" w:leader="dot" w:pos="9249"/>
        </w:tabs>
        <w:rPr>
          <w:rFonts w:asciiTheme="minorHAnsi" w:hAnsiTheme="minorHAnsi" w:eastAsiaTheme="minorEastAsia" w:cstheme="minorBidi"/>
          <w:noProof/>
          <w:kern w:val="0"/>
          <w:sz w:val="22"/>
          <w:szCs w:val="22"/>
          <w:lang w:val="uk-UA" w:eastAsia="uk-UA"/>
        </w:rPr>
      </w:pPr>
      <w:r>
        <w:rPr>
          <w:noProof/>
        </w:rPr>
        <w:t>EXPECTED TIMETABLE OF KEY EVENTS</w:t>
      </w:r>
      <w:r>
        <w:rPr>
          <w:noProof/>
        </w:rPr>
        <w:tab/>
      </w:r>
      <w:r>
        <w:rPr>
          <w:noProof/>
        </w:rPr>
        <w:fldChar w:fldCharType="begin"/>
      </w:r>
      <w:r>
        <w:rPr>
          <w:noProof/>
        </w:rPr>
        <w:instrText xml:space="preserve"> PAGEREF _Toc122976050 \h </w:instrText>
      </w:r>
      <w:r>
        <w:rPr>
          <w:noProof/>
        </w:rPr>
      </w:r>
      <w:r>
        <w:rPr>
          <w:noProof/>
        </w:rPr>
        <w:fldChar w:fldCharType="separate"/>
      </w:r>
      <w:r>
        <w:rPr>
          <w:noProof/>
        </w:rPr>
        <w:t>9</w:t>
      </w:r>
      <w:r>
        <w:rPr>
          <w:noProof/>
        </w:rPr>
        <w:fldChar w:fldCharType="end"/>
      </w:r>
    </w:p>
    <w:p w:rsidR="009662A4" w:rsidRDefault="009662A4" w14:paraId="727B8CAF" w14:textId="4DB8B32A">
      <w:pPr>
        <w:pStyle w:val="TOC1"/>
        <w:tabs>
          <w:tab w:val="right" w:leader="dot" w:pos="9249"/>
        </w:tabs>
        <w:rPr>
          <w:rFonts w:asciiTheme="minorHAnsi" w:hAnsiTheme="minorHAnsi" w:eastAsiaTheme="minorEastAsia" w:cstheme="minorBidi"/>
          <w:noProof/>
          <w:kern w:val="0"/>
          <w:sz w:val="22"/>
          <w:szCs w:val="22"/>
          <w:lang w:val="uk-UA" w:eastAsia="uk-UA"/>
        </w:rPr>
      </w:pPr>
      <w:r>
        <w:rPr>
          <w:noProof/>
        </w:rPr>
        <w:t>DEFINITIONS</w:t>
      </w:r>
      <w:r>
        <w:rPr>
          <w:noProof/>
        </w:rPr>
        <w:tab/>
      </w:r>
      <w:r>
        <w:rPr>
          <w:noProof/>
        </w:rPr>
        <w:fldChar w:fldCharType="begin"/>
      </w:r>
      <w:r>
        <w:rPr>
          <w:noProof/>
        </w:rPr>
        <w:instrText xml:space="preserve"> PAGEREF _Toc122976051 \h </w:instrText>
      </w:r>
      <w:r>
        <w:rPr>
          <w:noProof/>
        </w:rPr>
      </w:r>
      <w:r>
        <w:rPr>
          <w:noProof/>
        </w:rPr>
        <w:fldChar w:fldCharType="separate"/>
      </w:r>
      <w:r>
        <w:rPr>
          <w:noProof/>
        </w:rPr>
        <w:t>11</w:t>
      </w:r>
      <w:r>
        <w:rPr>
          <w:noProof/>
        </w:rPr>
        <w:fldChar w:fldCharType="end"/>
      </w:r>
    </w:p>
    <w:p w:rsidR="009662A4" w:rsidRDefault="009662A4" w14:paraId="08D11867" w14:textId="398E9728">
      <w:pPr>
        <w:pStyle w:val="TOC1"/>
        <w:tabs>
          <w:tab w:val="right" w:leader="dot" w:pos="9249"/>
        </w:tabs>
        <w:rPr>
          <w:rFonts w:asciiTheme="minorHAnsi" w:hAnsiTheme="minorHAnsi" w:eastAsiaTheme="minorEastAsia" w:cstheme="minorBidi"/>
          <w:noProof/>
          <w:kern w:val="0"/>
          <w:sz w:val="22"/>
          <w:szCs w:val="22"/>
          <w:lang w:val="uk-UA" w:eastAsia="uk-UA"/>
        </w:rPr>
      </w:pPr>
      <w:r>
        <w:rPr>
          <w:noProof/>
        </w:rPr>
        <w:t>TERMS AND CONDITIONS OF THE TENDER OFFER</w:t>
      </w:r>
      <w:r>
        <w:rPr>
          <w:noProof/>
        </w:rPr>
        <w:tab/>
      </w:r>
      <w:r>
        <w:rPr>
          <w:noProof/>
        </w:rPr>
        <w:fldChar w:fldCharType="begin"/>
      </w:r>
      <w:r>
        <w:rPr>
          <w:noProof/>
        </w:rPr>
        <w:instrText xml:space="preserve"> PAGEREF _Toc122976052 \h </w:instrText>
      </w:r>
      <w:r>
        <w:rPr>
          <w:noProof/>
        </w:rPr>
      </w:r>
      <w:r>
        <w:rPr>
          <w:noProof/>
        </w:rPr>
        <w:fldChar w:fldCharType="separate"/>
      </w:r>
      <w:r>
        <w:rPr>
          <w:noProof/>
        </w:rPr>
        <w:t>15</w:t>
      </w:r>
      <w:r>
        <w:rPr>
          <w:noProof/>
        </w:rPr>
        <w:fldChar w:fldCharType="end"/>
      </w:r>
    </w:p>
    <w:p w:rsidR="009662A4" w:rsidRDefault="009662A4" w14:paraId="149D845A" w14:textId="5CBAF1F3">
      <w:pPr>
        <w:pStyle w:val="TOC1"/>
        <w:tabs>
          <w:tab w:val="right" w:leader="dot" w:pos="9249"/>
        </w:tabs>
        <w:rPr>
          <w:rFonts w:asciiTheme="minorHAnsi" w:hAnsiTheme="minorHAnsi" w:eastAsiaTheme="minorEastAsia" w:cstheme="minorBidi"/>
          <w:noProof/>
          <w:kern w:val="0"/>
          <w:sz w:val="22"/>
          <w:szCs w:val="22"/>
          <w:lang w:val="uk-UA" w:eastAsia="uk-UA"/>
        </w:rPr>
      </w:pPr>
      <w:r>
        <w:rPr>
          <w:noProof/>
        </w:rPr>
        <w:t>RISK FACTORS AND OTHER CONSIDERATIONS</w:t>
      </w:r>
      <w:r>
        <w:rPr>
          <w:noProof/>
        </w:rPr>
        <w:tab/>
      </w:r>
      <w:r>
        <w:rPr>
          <w:noProof/>
        </w:rPr>
        <w:fldChar w:fldCharType="begin"/>
      </w:r>
      <w:r>
        <w:rPr>
          <w:noProof/>
        </w:rPr>
        <w:instrText xml:space="preserve"> PAGEREF _Toc122976059 \h </w:instrText>
      </w:r>
      <w:r>
        <w:rPr>
          <w:noProof/>
        </w:rPr>
      </w:r>
      <w:r>
        <w:rPr>
          <w:noProof/>
        </w:rPr>
        <w:fldChar w:fldCharType="separate"/>
      </w:r>
      <w:r>
        <w:rPr>
          <w:noProof/>
        </w:rPr>
        <w:t>21</w:t>
      </w:r>
      <w:r>
        <w:rPr>
          <w:noProof/>
        </w:rPr>
        <w:fldChar w:fldCharType="end"/>
      </w:r>
    </w:p>
    <w:p w:rsidR="009662A4" w:rsidRDefault="009662A4" w14:paraId="7C16CB73" w14:textId="6F80C986">
      <w:pPr>
        <w:pStyle w:val="TOC1"/>
        <w:tabs>
          <w:tab w:val="right" w:leader="dot" w:pos="9249"/>
        </w:tabs>
        <w:rPr>
          <w:rFonts w:asciiTheme="minorHAnsi" w:hAnsiTheme="minorHAnsi" w:eastAsiaTheme="minorEastAsia" w:cstheme="minorBidi"/>
          <w:noProof/>
          <w:kern w:val="0"/>
          <w:sz w:val="22"/>
          <w:szCs w:val="22"/>
          <w:lang w:val="uk-UA" w:eastAsia="uk-UA"/>
        </w:rPr>
      </w:pPr>
      <w:r>
        <w:rPr>
          <w:noProof/>
        </w:rPr>
        <w:t>TAX CONSEQUENCES</w:t>
      </w:r>
      <w:r>
        <w:rPr>
          <w:noProof/>
        </w:rPr>
        <w:tab/>
      </w:r>
      <w:r>
        <w:rPr>
          <w:noProof/>
        </w:rPr>
        <w:fldChar w:fldCharType="begin"/>
      </w:r>
      <w:r>
        <w:rPr>
          <w:noProof/>
        </w:rPr>
        <w:instrText xml:space="preserve"> PAGEREF _Toc122976072 \h </w:instrText>
      </w:r>
      <w:r>
        <w:rPr>
          <w:noProof/>
        </w:rPr>
      </w:r>
      <w:r>
        <w:rPr>
          <w:noProof/>
        </w:rPr>
        <w:fldChar w:fldCharType="separate"/>
      </w:r>
      <w:r>
        <w:rPr>
          <w:noProof/>
        </w:rPr>
        <w:t>24</w:t>
      </w:r>
      <w:r>
        <w:rPr>
          <w:noProof/>
        </w:rPr>
        <w:fldChar w:fldCharType="end"/>
      </w:r>
    </w:p>
    <w:p w:rsidR="009662A4" w:rsidRDefault="009662A4" w14:paraId="1187E82D" w14:textId="72DF509D">
      <w:pPr>
        <w:pStyle w:val="TOC1"/>
        <w:tabs>
          <w:tab w:val="right" w:leader="dot" w:pos="9249"/>
        </w:tabs>
        <w:rPr>
          <w:rFonts w:asciiTheme="minorHAnsi" w:hAnsiTheme="minorHAnsi" w:eastAsiaTheme="minorEastAsia" w:cstheme="minorBidi"/>
          <w:noProof/>
          <w:kern w:val="0"/>
          <w:sz w:val="22"/>
          <w:szCs w:val="22"/>
          <w:lang w:val="uk-UA" w:eastAsia="uk-UA"/>
        </w:rPr>
      </w:pPr>
      <w:r>
        <w:rPr>
          <w:noProof/>
        </w:rPr>
        <w:t>PROCEDURES FOR PARTICIPATING IN THE TENDER OFFER</w:t>
      </w:r>
      <w:r>
        <w:rPr>
          <w:noProof/>
        </w:rPr>
        <w:tab/>
      </w:r>
      <w:r>
        <w:rPr>
          <w:noProof/>
        </w:rPr>
        <w:fldChar w:fldCharType="begin"/>
      </w:r>
      <w:r>
        <w:rPr>
          <w:noProof/>
        </w:rPr>
        <w:instrText xml:space="preserve"> PAGEREF _Toc122976073 \h </w:instrText>
      </w:r>
      <w:r>
        <w:rPr>
          <w:noProof/>
        </w:rPr>
      </w:r>
      <w:r>
        <w:rPr>
          <w:noProof/>
        </w:rPr>
        <w:fldChar w:fldCharType="separate"/>
      </w:r>
      <w:r>
        <w:rPr>
          <w:noProof/>
        </w:rPr>
        <w:t>25</w:t>
      </w:r>
      <w:r>
        <w:rPr>
          <w:noProof/>
        </w:rPr>
        <w:fldChar w:fldCharType="end"/>
      </w:r>
    </w:p>
    <w:p w:rsidR="009662A4" w:rsidRDefault="009662A4" w14:paraId="49E609DC" w14:textId="1F5E186E">
      <w:pPr>
        <w:pStyle w:val="TOC1"/>
        <w:tabs>
          <w:tab w:val="right" w:leader="dot" w:pos="9249"/>
        </w:tabs>
        <w:rPr>
          <w:rFonts w:asciiTheme="minorHAnsi" w:hAnsiTheme="minorHAnsi" w:eastAsiaTheme="minorEastAsia" w:cstheme="minorBidi"/>
          <w:noProof/>
          <w:kern w:val="0"/>
          <w:sz w:val="22"/>
          <w:szCs w:val="22"/>
          <w:lang w:val="uk-UA" w:eastAsia="uk-UA"/>
        </w:rPr>
      </w:pPr>
      <w:r>
        <w:rPr>
          <w:noProof/>
        </w:rPr>
        <w:t>AMENDMENT AND TERMINATION</w:t>
      </w:r>
      <w:r>
        <w:rPr>
          <w:noProof/>
        </w:rPr>
        <w:tab/>
      </w:r>
      <w:r>
        <w:rPr>
          <w:noProof/>
        </w:rPr>
        <w:fldChar w:fldCharType="begin"/>
      </w:r>
      <w:r>
        <w:rPr>
          <w:noProof/>
        </w:rPr>
        <w:instrText xml:space="preserve"> PAGEREF _Toc122976078 \h </w:instrText>
      </w:r>
      <w:r>
        <w:rPr>
          <w:noProof/>
        </w:rPr>
      </w:r>
      <w:r>
        <w:rPr>
          <w:noProof/>
        </w:rPr>
        <w:fldChar w:fldCharType="separate"/>
      </w:r>
      <w:r>
        <w:rPr>
          <w:noProof/>
        </w:rPr>
        <w:t>31</w:t>
      </w:r>
      <w:r>
        <w:rPr>
          <w:noProof/>
        </w:rPr>
        <w:fldChar w:fldCharType="end"/>
      </w:r>
    </w:p>
    <w:p w:rsidR="009662A4" w:rsidRDefault="009662A4" w14:paraId="58ACAD4C" w14:textId="4AF6FD99">
      <w:pPr>
        <w:pStyle w:val="TOC1"/>
        <w:tabs>
          <w:tab w:val="right" w:leader="dot" w:pos="9249"/>
        </w:tabs>
        <w:rPr>
          <w:rFonts w:asciiTheme="minorHAnsi" w:hAnsiTheme="minorHAnsi" w:eastAsiaTheme="minorEastAsia" w:cstheme="minorBidi"/>
          <w:noProof/>
          <w:kern w:val="0"/>
          <w:sz w:val="22"/>
          <w:szCs w:val="22"/>
          <w:lang w:val="uk-UA" w:eastAsia="uk-UA"/>
        </w:rPr>
      </w:pPr>
      <w:r>
        <w:rPr>
          <w:noProof/>
        </w:rPr>
        <w:t>TENDER AGENT</w:t>
      </w:r>
      <w:r>
        <w:rPr>
          <w:noProof/>
        </w:rPr>
        <w:tab/>
      </w:r>
      <w:r>
        <w:rPr>
          <w:noProof/>
        </w:rPr>
        <w:fldChar w:fldCharType="begin"/>
      </w:r>
      <w:r>
        <w:rPr>
          <w:noProof/>
        </w:rPr>
        <w:instrText xml:space="preserve"> PAGEREF _Toc122976080 \h </w:instrText>
      </w:r>
      <w:r>
        <w:rPr>
          <w:noProof/>
        </w:rPr>
      </w:r>
      <w:r>
        <w:rPr>
          <w:noProof/>
        </w:rPr>
        <w:fldChar w:fldCharType="separate"/>
      </w:r>
      <w:r>
        <w:rPr>
          <w:noProof/>
        </w:rPr>
        <w:t>32</w:t>
      </w:r>
      <w:r>
        <w:rPr>
          <w:noProof/>
        </w:rPr>
        <w:fldChar w:fldCharType="end"/>
      </w:r>
    </w:p>
    <w:p w:rsidR="008830BF" w:rsidP="008830BF" w:rsidRDefault="009662A4" w14:paraId="31AD2C7D" w14:textId="1CF65577">
      <w:pPr>
        <w:pStyle w:val="Head"/>
        <w:jc w:val="center"/>
        <w:rPr>
          <w:b w:val="0"/>
          <w:bCs/>
          <w:noProof/>
          <w:lang w:val="en-US"/>
        </w:rPr>
        <w:sectPr w:rsidR="008830BF" w:rsidSect="008830BF">
          <w:headerReference w:type="even" r:id="rId13"/>
          <w:headerReference w:type="default" r:id="rId14"/>
          <w:footerReference w:type="default" r:id="rId15"/>
          <w:headerReference w:type="first" r:id="rId16"/>
          <w:footerReference w:type="first" r:id="rId17"/>
          <w:pgSz w:w="11907" w:h="16840" w:orient="portrait" w:code="9"/>
          <w:pgMar w:top="1412" w:right="1367" w:bottom="1985" w:left="1281" w:header="1049" w:footer="873" w:gutter="0"/>
          <w:cols w:space="720"/>
          <w:titlePg/>
        </w:sectPr>
      </w:pPr>
      <w:r>
        <w:rPr>
          <w:sz w:val="20"/>
        </w:rPr>
        <w:fldChar w:fldCharType="end"/>
      </w:r>
    </w:p>
    <w:p w:rsidRPr="008830BF" w:rsidR="00D06258" w:rsidP="008830BF" w:rsidRDefault="002857DE" w14:paraId="07596166" w14:textId="5212D818">
      <w:pPr>
        <w:pStyle w:val="Head-C"/>
        <w:pageBreakBefore w:val="0"/>
        <w:ind w:left="432"/>
      </w:pPr>
      <w:bookmarkStart w:name="_Toc122976042" w:id="7"/>
      <w:r>
        <w:lastRenderedPageBreak/>
        <w:t xml:space="preserve">SUMMARY OF </w:t>
      </w:r>
      <w:r w:rsidR="00D06258">
        <w:t>THE TENDER OFFER</w:t>
      </w:r>
      <w:bookmarkEnd w:id="7"/>
      <w:r w:rsidR="00D06258">
        <w:t xml:space="preserve"> </w:t>
      </w:r>
    </w:p>
    <w:p w:rsidRPr="00132E90" w:rsidR="00D06258" w:rsidP="00D06258" w:rsidRDefault="00D06258" w14:paraId="0AFA48D2" w14:textId="6BD0AB3F">
      <w:pPr>
        <w:pStyle w:val="Body"/>
        <w:rPr>
          <w:b/>
          <w:bCs/>
        </w:rPr>
      </w:pPr>
      <w:r w:rsidRPr="00132E90">
        <w:rPr>
          <w:b/>
          <w:bCs/>
        </w:rPr>
        <w:t xml:space="preserve">This </w:t>
      </w:r>
      <w:r w:rsidR="005C4C34">
        <w:rPr>
          <w:b/>
          <w:bCs/>
        </w:rPr>
        <w:t>Tender Offer Memorandum</w:t>
      </w:r>
      <w:r w:rsidRPr="00132E90">
        <w:rPr>
          <w:b/>
          <w:bCs/>
        </w:rPr>
        <w:t xml:space="preserve"> contains important information which should be read carefully before any decision is made with respect to the Tender Offer. If any Holder is in any doubt as to the contents of this </w:t>
      </w:r>
      <w:r w:rsidR="005C4C34">
        <w:rPr>
          <w:b/>
          <w:bCs/>
        </w:rPr>
        <w:t>Tender Offer Memorandum</w:t>
      </w:r>
      <w:r w:rsidRPr="00132E90">
        <w:rPr>
          <w:b/>
          <w:bCs/>
        </w:rPr>
        <w:t xml:space="preserve"> or is unsure of the action it should take, it is recommended to seek its own financial and legal advice, including in respect of any tax consequences, immediately from its broker, bank manager, solicitor, accountant or other independent financial, legal or other adviser. Any individual or company whose Notes are held on its behalf by a broker, dealer, bank, custodian, trust company, direct participant or other nominee or intermediary must contact such entity if it wishes to tender such Notes pursuant to the Tender Offer. The distribution of this </w:t>
      </w:r>
      <w:r w:rsidR="005C4C34">
        <w:rPr>
          <w:b/>
          <w:bCs/>
        </w:rPr>
        <w:t>Tender Offer Memorandum</w:t>
      </w:r>
      <w:r w:rsidRPr="00812442" w:rsidR="00812442">
        <w:rPr>
          <w:b/>
          <w:bCs/>
        </w:rPr>
        <w:t xml:space="preserve"> </w:t>
      </w:r>
      <w:r w:rsidRPr="00132E90">
        <w:rPr>
          <w:b/>
          <w:bCs/>
        </w:rPr>
        <w:t>in certain jurisdictions may be restricted by law (see “</w:t>
      </w:r>
      <w:r w:rsidRPr="00321CD8">
        <w:rPr>
          <w:b/>
          <w:bCs/>
          <w:i/>
          <w:iCs/>
        </w:rPr>
        <w:t>Offer and Distribution Restrictions</w:t>
      </w:r>
      <w:r w:rsidRPr="00132E90">
        <w:rPr>
          <w:b/>
          <w:bCs/>
        </w:rPr>
        <w:t xml:space="preserve">”). None of the </w:t>
      </w:r>
      <w:r w:rsidR="001A1A69">
        <w:rPr>
          <w:b/>
          <w:bCs/>
        </w:rPr>
        <w:t>Of</w:t>
      </w:r>
      <w:r w:rsidRPr="00132E90" w:rsidR="001A1A69">
        <w:rPr>
          <w:b/>
          <w:bCs/>
        </w:rPr>
        <w:t>f</w:t>
      </w:r>
      <w:r w:rsidR="001A1A69">
        <w:rPr>
          <w:b/>
          <w:bCs/>
        </w:rPr>
        <w:t>e</w:t>
      </w:r>
      <w:r w:rsidRPr="00132E90" w:rsidR="001A1A69">
        <w:rPr>
          <w:b/>
          <w:bCs/>
        </w:rPr>
        <w:t>ror</w:t>
      </w:r>
      <w:r w:rsidRPr="00132E90">
        <w:rPr>
          <w:b/>
          <w:bCs/>
        </w:rPr>
        <w:t xml:space="preserve">, the </w:t>
      </w:r>
      <w:r w:rsidR="0027613F">
        <w:rPr>
          <w:b/>
          <w:bCs/>
        </w:rPr>
        <w:t>Tender Agent</w:t>
      </w:r>
      <w:r w:rsidR="00812442">
        <w:rPr>
          <w:b/>
          <w:bCs/>
        </w:rPr>
        <w:t xml:space="preserve"> </w:t>
      </w:r>
      <w:r w:rsidRPr="00132E90">
        <w:rPr>
          <w:b/>
          <w:bCs/>
        </w:rPr>
        <w:t>or any of their respective affiliates makes any recommendation as to whether holders of Notes should tender their Notes pursuant to the Tender Offer.</w:t>
      </w:r>
    </w:p>
    <w:p w:rsidRPr="00437162" w:rsidR="00D06258" w:rsidP="00872512" w:rsidRDefault="00D06258" w14:paraId="2559825A" w14:textId="6788EE20">
      <w:pPr>
        <w:pStyle w:val="Body"/>
        <w:rPr>
          <w:lang w:val="en-US"/>
        </w:rPr>
      </w:pPr>
      <w:r>
        <w:t xml:space="preserve">The </w:t>
      </w:r>
      <w:r w:rsidR="00A04F3F">
        <w:t>Offeror</w:t>
      </w:r>
      <w:r w:rsidR="00F93B2D">
        <w:t xml:space="preserve"> </w:t>
      </w:r>
      <w:r>
        <w:t>invite</w:t>
      </w:r>
      <w:r w:rsidR="00536A59">
        <w:t>s</w:t>
      </w:r>
      <w:r>
        <w:t>, subject to the offer and distribution restrictions in “</w:t>
      </w:r>
      <w:r w:rsidRPr="00321CD8">
        <w:rPr>
          <w:i/>
          <w:iCs/>
        </w:rPr>
        <w:t>Offer</w:t>
      </w:r>
      <w:r w:rsidRPr="00872512" w:rsidR="00872512">
        <w:rPr>
          <w:i/>
          <w:iCs/>
          <w:lang w:val="en-US"/>
        </w:rPr>
        <w:t xml:space="preserve"> </w:t>
      </w:r>
      <w:r w:rsidRPr="00321CD8">
        <w:rPr>
          <w:i/>
          <w:iCs/>
        </w:rPr>
        <w:t>and Distribution Restrictions</w:t>
      </w:r>
      <w:r>
        <w:t>”</w:t>
      </w:r>
      <w:r w:rsidR="00BE347D">
        <w:t>,</w:t>
      </w:r>
      <w:r>
        <w:t xml:space="preserve"> holders of the Notes</w:t>
      </w:r>
      <w:r w:rsidRPr="00872512" w:rsidR="00872512">
        <w:rPr>
          <w:lang w:val="en-US"/>
        </w:rPr>
        <w:t xml:space="preserve"> </w:t>
      </w:r>
      <w:r>
        <w:t>to tender any and all of their Notes for purchase by the Offeror for cash at prices to be determined pursuant to an unmodified Dutch auction</w:t>
      </w:r>
      <w:r w:rsidR="00A72FE9">
        <w:t xml:space="preserve"> </w:t>
      </w:r>
      <w:r w:rsidRPr="00831E73" w:rsidR="00A72FE9">
        <w:t>(the “</w:t>
      </w:r>
      <w:r w:rsidRPr="00831E73" w:rsidR="00A72FE9">
        <w:rPr>
          <w:b/>
          <w:bCs/>
        </w:rPr>
        <w:t>Unmodified Dutch Auction Procedure</w:t>
      </w:r>
      <w:r w:rsidRPr="00831E73" w:rsidR="00A72FE9">
        <w:t xml:space="preserve">”), as more fully described in this </w:t>
      </w:r>
      <w:r w:rsidR="00A72FE9">
        <w:t>Tender Offer Memorandum</w:t>
      </w:r>
      <w:r w:rsidRPr="00437162" w:rsidR="00437162">
        <w:rPr>
          <w:lang w:val="en-US"/>
        </w:rPr>
        <w:t>.</w:t>
      </w:r>
    </w:p>
    <w:p w:rsidR="00D06258" w:rsidP="00D06258" w:rsidRDefault="00D06258" w14:paraId="40EE9E01" w14:textId="35EF64D4">
      <w:pPr>
        <w:pStyle w:val="Body"/>
      </w:pPr>
      <w:r>
        <w:t xml:space="preserve">The Tender Offer </w:t>
      </w:r>
      <w:r w:rsidR="00437162">
        <w:t xml:space="preserve">is </w:t>
      </w:r>
      <w:r>
        <w:t xml:space="preserve">made on the terms and subject to the conditions set out in this </w:t>
      </w:r>
      <w:r w:rsidR="005C4C34">
        <w:t>Tender Offer Memorandum</w:t>
      </w:r>
      <w:r>
        <w:t>.</w:t>
      </w:r>
    </w:p>
    <w:p w:rsidR="00D06258" w:rsidP="00D06258" w:rsidRDefault="00D06258" w14:paraId="1D3068E7" w14:textId="3BFBE6CB">
      <w:pPr>
        <w:pStyle w:val="Body"/>
      </w:pPr>
      <w:r>
        <w:t xml:space="preserve">Before making a decision whether to tender Notes for purchase pursuant to the Tender Offer, Noteholders should carefully consider all of the information in this </w:t>
      </w:r>
      <w:r w:rsidR="005C4C34">
        <w:t>Tender Offer Memorandum</w:t>
      </w:r>
      <w:r>
        <w:t xml:space="preserve"> and, in particular, the risk factors described in “</w:t>
      </w:r>
      <w:r w:rsidRPr="000B483E">
        <w:rPr>
          <w:i/>
          <w:iCs/>
        </w:rPr>
        <w:t>Risk Factors and Other Considerations</w:t>
      </w:r>
      <w:r>
        <w:t>”.</w:t>
      </w:r>
    </w:p>
    <w:p w:rsidR="00D06258" w:rsidP="00586E60" w:rsidRDefault="00583CB2" w14:paraId="653525E8" w14:textId="685EB95E">
      <w:pPr>
        <w:pStyle w:val="Body"/>
      </w:pPr>
      <w:r w:rsidRPr="00337782">
        <w:t xml:space="preserve">Capitalised terms used in this </w:t>
      </w:r>
      <w:r w:rsidR="005C4C34">
        <w:t>Tender Offer Memorandum</w:t>
      </w:r>
      <w:r w:rsidRPr="00337782">
        <w:t xml:space="preserve"> but not included in the </w:t>
      </w:r>
      <w:r>
        <w:t>“</w:t>
      </w:r>
      <w:r w:rsidRPr="00337782">
        <w:rPr>
          <w:i/>
          <w:iCs/>
        </w:rPr>
        <w:t>Definitions</w:t>
      </w:r>
      <w:r>
        <w:t>”</w:t>
      </w:r>
      <w:r w:rsidRPr="00337782">
        <w:t xml:space="preserve"> section of this memorandum have the meaning given in Sections 1.01 </w:t>
      </w:r>
      <w:r>
        <w:t>“</w:t>
      </w:r>
      <w:r w:rsidRPr="00337782">
        <w:rPr>
          <w:i/>
        </w:rPr>
        <w:t>Definitions</w:t>
      </w:r>
      <w:r>
        <w:t>”</w:t>
      </w:r>
      <w:r w:rsidRPr="00337782">
        <w:t xml:space="preserve"> or 1.02 </w:t>
      </w:r>
      <w:r>
        <w:t>“</w:t>
      </w:r>
      <w:r w:rsidRPr="00337782">
        <w:rPr>
          <w:i/>
          <w:iCs/>
        </w:rPr>
        <w:t>Other Definitions</w:t>
      </w:r>
      <w:r>
        <w:t>”</w:t>
      </w:r>
      <w:r w:rsidRPr="00337782">
        <w:t xml:space="preserve"> of the Indenture, and any other definitions of such terms are for ease of reference only and do not affect their interpretation.</w:t>
      </w:r>
    </w:p>
    <w:p w:rsidRPr="00831E73" w:rsidR="005003BC" w:rsidP="002F00DB" w:rsidRDefault="005003BC" w14:paraId="7C7504B9" w14:textId="5501BF45">
      <w:pPr>
        <w:pStyle w:val="Body"/>
      </w:pPr>
      <w:r w:rsidRPr="00831E73">
        <w:t>Under the Unmodified Dutch Auction Procedure, the purchase price (specific to each Noteholder) in respect of the Notes validly tendered by a Noteholder and accepted for purchase by the Offeror pursuant to the Tender Offer (each such price, expressed as a dollar amount per U.S.$1,000 in principal amount of the Notes which will be purchased by the Offeror from such Noteholder, a “</w:t>
      </w:r>
      <w:r w:rsidRPr="00831E73">
        <w:rPr>
          <w:b/>
          <w:bCs/>
        </w:rPr>
        <w:t>Purchase Price</w:t>
      </w:r>
      <w:r w:rsidRPr="00831E73">
        <w:t>”) shall be equal to the Submitted Purchase Price specified by the relevant Noteholder in the relevant Tender Instruction, subject to the Minimum Purchase Price</w:t>
      </w:r>
      <w:r w:rsidR="00DE2F53">
        <w:t xml:space="preserve"> and </w:t>
      </w:r>
      <w:r w:rsidRPr="00831E73">
        <w:t xml:space="preserve">the Maximum Acceptance Amount, as more fully described </w:t>
      </w:r>
      <w:r w:rsidRPr="0014243E" w:rsidR="0014243E">
        <w:t xml:space="preserve">in this </w:t>
      </w:r>
      <w:r w:rsidR="005C4C34">
        <w:t>Tender Offer Memorandum</w:t>
      </w:r>
      <w:r w:rsidRPr="00831E73">
        <w:t>.</w:t>
      </w:r>
    </w:p>
    <w:p w:rsidRPr="00831E73" w:rsidR="005003BC" w:rsidP="002F00DB" w:rsidRDefault="005003BC" w14:paraId="304323D2" w14:textId="77777777">
      <w:pPr>
        <w:pStyle w:val="Body"/>
        <w:rPr>
          <w:b/>
          <w:bCs/>
        </w:rPr>
      </w:pPr>
      <w:r w:rsidRPr="00831E73">
        <w:rPr>
          <w:b/>
          <w:bCs/>
        </w:rPr>
        <w:t>As the Purchase Price applicable to each relevant Noteholder who submits a valid Tender Instruction that is accepted by the Offeror is the price specified by such Noteholder in the relevant Tender Instruction, the Purchase Price payable to each Noteholder will not necessarily be the same.</w:t>
      </w:r>
    </w:p>
    <w:p w:rsidRPr="00831E73" w:rsidR="00802D9E" w:rsidP="00802D9E" w:rsidRDefault="005003BC" w14:paraId="7396EF22" w14:textId="0245EB6C">
      <w:pPr>
        <w:pStyle w:val="Body"/>
        <w:rPr>
          <w:color w:val="000000"/>
          <w:shd w:val="clear" w:color="auto" w:fill="FFFFFF" w:themeFill="background1"/>
        </w:rPr>
      </w:pPr>
      <w:r w:rsidRPr="00831E73">
        <w:t xml:space="preserve">The Offeror proposes to accept, on the terms and subject to the conditions contained in this </w:t>
      </w:r>
      <w:r w:rsidR="005C4C34">
        <w:t>Tender Offer Memorandum</w:t>
      </w:r>
      <w:r w:rsidRPr="00831E73">
        <w:t xml:space="preserve">, </w:t>
      </w:r>
      <w:r w:rsidRPr="00F85236">
        <w:t xml:space="preserve">Notes for purchase such that the total amount payable by the Offeror for the Notes validly tendered and accepted for purchase (excluding any amounts payable in respect of the Accrued Interest on such Notes) does not </w:t>
      </w:r>
      <w:r w:rsidRPr="00106283">
        <w:t xml:space="preserve">exceed </w:t>
      </w:r>
      <w:r w:rsidR="009D63B7">
        <w:t>U.S.</w:t>
      </w:r>
      <w:r w:rsidRPr="00106283">
        <w:t>$</w:t>
      </w:r>
      <w:r w:rsidR="009D63B7">
        <w:t>30,000,000</w:t>
      </w:r>
      <w:r w:rsidRPr="00106283" w:rsidR="00E82B3B">
        <w:t xml:space="preserve"> </w:t>
      </w:r>
      <w:r w:rsidRPr="00106283">
        <w:t>(“</w:t>
      </w:r>
      <w:r w:rsidRPr="00106283">
        <w:rPr>
          <w:b/>
          <w:bCs/>
        </w:rPr>
        <w:t>Maximum Acceptance Amount</w:t>
      </w:r>
      <w:r w:rsidRPr="00106283">
        <w:t>”). The Offeror in its sole and absolute discretion may elect to increase the Maximum Acceptance Amount.</w:t>
      </w:r>
      <w:r w:rsidRPr="00106283" w:rsidR="007B06E6">
        <w:t xml:space="preserve"> </w:t>
      </w:r>
      <w:r w:rsidRPr="00106283">
        <w:t xml:space="preserve">In the event of an increase </w:t>
      </w:r>
      <w:r w:rsidRPr="00106283" w:rsidR="00F02FAF">
        <w:t xml:space="preserve">of </w:t>
      </w:r>
      <w:r w:rsidRPr="00106283">
        <w:t xml:space="preserve">the Maximum Acceptance Amount, </w:t>
      </w:r>
      <w:r w:rsidRPr="00106283" w:rsidR="00994199">
        <w:t xml:space="preserve">the </w:t>
      </w:r>
      <w:r w:rsidRPr="00106283">
        <w:t xml:space="preserve">Tender Instructions submitted </w:t>
      </w:r>
      <w:r w:rsidRPr="00106283" w:rsidR="00994199">
        <w:t xml:space="preserve">in the Tender Offer </w:t>
      </w:r>
      <w:r w:rsidRPr="00106283" w:rsidR="00E56CDC">
        <w:t xml:space="preserve">before the announcement of such increase </w:t>
      </w:r>
      <w:r w:rsidRPr="00106283">
        <w:t xml:space="preserve">shall </w:t>
      </w:r>
      <w:r w:rsidRPr="00106283" w:rsidR="001823F1">
        <w:t xml:space="preserve">continue </w:t>
      </w:r>
      <w:r w:rsidRPr="00106283" w:rsidR="007B06E6">
        <w:t xml:space="preserve">to </w:t>
      </w:r>
      <w:r w:rsidRPr="00106283">
        <w:t>be irrevocable</w:t>
      </w:r>
      <w:r w:rsidRPr="00831E73">
        <w:rPr>
          <w:shd w:val="clear" w:color="auto" w:fill="FFFFFF" w:themeFill="background1"/>
        </w:rPr>
        <w:t>.</w:t>
      </w:r>
      <w:r w:rsidRPr="00831E73" w:rsidR="007B06E6">
        <w:rPr>
          <w:color w:val="000000"/>
          <w:shd w:val="clear" w:color="auto" w:fill="FFFFFF" w:themeFill="background1"/>
        </w:rPr>
        <w:t xml:space="preserve"> See “</w:t>
      </w:r>
      <w:r w:rsidRPr="00024895" w:rsidR="00024895">
        <w:rPr>
          <w:i/>
          <w:color w:val="000000"/>
          <w:shd w:val="clear" w:color="auto" w:fill="FFFFFF" w:themeFill="background1"/>
        </w:rPr>
        <w:t>Amendment and Termination</w:t>
      </w:r>
      <w:r w:rsidRPr="00831E73" w:rsidR="007B06E6">
        <w:rPr>
          <w:color w:val="000000"/>
          <w:shd w:val="clear" w:color="auto" w:fill="FFFFFF" w:themeFill="background1"/>
        </w:rPr>
        <w:t>”.</w:t>
      </w:r>
    </w:p>
    <w:p w:rsidRPr="00831E73" w:rsidR="006A2CD3" w:rsidP="00802D9E" w:rsidRDefault="00064FC9" w14:paraId="22ACB5D3" w14:textId="179CD56C">
      <w:pPr>
        <w:pStyle w:val="Body"/>
        <w:rPr>
          <w:bCs/>
        </w:rPr>
      </w:pPr>
      <w:r>
        <w:rPr>
          <w:bCs/>
        </w:rPr>
        <w:t xml:space="preserve">Subject to terms and conditions of this </w:t>
      </w:r>
      <w:r w:rsidR="00FD1479">
        <w:rPr>
          <w:bCs/>
        </w:rPr>
        <w:t>Tender Offer Memorandum, t</w:t>
      </w:r>
      <w:r w:rsidRPr="00831E73" w:rsidR="006A2CD3">
        <w:rPr>
          <w:bCs/>
        </w:rPr>
        <w:t xml:space="preserve">he Offeror will accept </w:t>
      </w:r>
      <w:r w:rsidRPr="00831E73" w:rsidR="00B4462E">
        <w:rPr>
          <w:bCs/>
        </w:rPr>
        <w:t>for purchase all validly tendered Notes</w:t>
      </w:r>
      <w:r w:rsidRPr="00831E73" w:rsidR="002F38AD">
        <w:rPr>
          <w:bCs/>
        </w:rPr>
        <w:t xml:space="preserve"> </w:t>
      </w:r>
      <w:r w:rsidRPr="00831E73" w:rsidR="006A2CD3">
        <w:rPr>
          <w:bCs/>
        </w:rPr>
        <w:t xml:space="preserve">in the order (of the respective Submitted Purchase Price) starting from the lowest </w:t>
      </w:r>
      <w:r w:rsidRPr="00831E73" w:rsidR="006A2CD3">
        <w:rPr>
          <w:bCs/>
        </w:rPr>
        <w:lastRenderedPageBreak/>
        <w:t xml:space="preserve">Submitted Purchase Price to any higher Submitted Purchase Price, up to and including the Submitted Purchase Price that represents highest price that yields an aggregate amount payable by the Offeror (calculated as the sum of all relevant Purchase Price Payments, subject to pro ration </w:t>
      </w:r>
      <w:r w:rsidRPr="00831E73" w:rsidR="00F13581">
        <w:rPr>
          <w:bCs/>
        </w:rPr>
        <w:t>as more fully described in “</w:t>
      </w:r>
      <w:r w:rsidRPr="00831E73" w:rsidR="00D872DC">
        <w:rPr>
          <w:i/>
          <w:iCs/>
        </w:rPr>
        <w:t>Terms and Conditions of the</w:t>
      </w:r>
      <w:r w:rsidRPr="00831E73" w:rsidR="00D872DC">
        <w:t xml:space="preserve"> </w:t>
      </w:r>
      <w:r w:rsidRPr="00831E73" w:rsidR="00D872DC">
        <w:rPr>
          <w:i/>
          <w:iCs/>
        </w:rPr>
        <w:t>Tender Offer</w:t>
      </w:r>
      <w:r w:rsidR="00FD7508">
        <w:rPr>
          <w:i/>
          <w:iCs/>
        </w:rPr>
        <w:t xml:space="preserve"> </w:t>
      </w:r>
      <w:r w:rsidRPr="00831E73" w:rsidR="00D872DC">
        <w:rPr>
          <w:i/>
          <w:iCs/>
        </w:rPr>
        <w:t>–</w:t>
      </w:r>
      <w:r w:rsidRPr="00EE1B43" w:rsidR="00F761B6">
        <w:rPr>
          <w:bCs/>
          <w:i/>
          <w:iCs/>
        </w:rPr>
        <w:t xml:space="preserve">Acceptance of </w:t>
      </w:r>
      <w:r w:rsidRPr="001452CB" w:rsidR="001452CB">
        <w:rPr>
          <w:bCs/>
          <w:i/>
          <w:iCs/>
        </w:rPr>
        <w:t>Tender Instructions</w:t>
      </w:r>
      <w:r w:rsidRPr="00EE1B43" w:rsidR="00F761B6">
        <w:rPr>
          <w:bCs/>
          <w:i/>
          <w:iCs/>
        </w:rPr>
        <w:t xml:space="preserve"> and Pro-Ration</w:t>
      </w:r>
      <w:r w:rsidRPr="00831E73" w:rsidR="00F13581">
        <w:rPr>
          <w:bCs/>
        </w:rPr>
        <w:t>”</w:t>
      </w:r>
      <w:r w:rsidRPr="00831E73" w:rsidR="006A2CD3">
        <w:rPr>
          <w:bCs/>
        </w:rPr>
        <w:t>)</w:t>
      </w:r>
      <w:r w:rsidRPr="00831E73" w:rsidR="004776BF">
        <w:rPr>
          <w:bCs/>
        </w:rPr>
        <w:t xml:space="preserve"> </w:t>
      </w:r>
      <w:r w:rsidRPr="00831E73" w:rsidR="006A2CD3">
        <w:rPr>
          <w:bCs/>
        </w:rPr>
        <w:t>that is equal to or less than the Maximum Acceptance Amount.</w:t>
      </w:r>
    </w:p>
    <w:p w:rsidRPr="00831E73" w:rsidR="005003BC" w:rsidP="002F00DB" w:rsidRDefault="005003BC" w14:paraId="7AF24163" w14:textId="69CF4221">
      <w:pPr>
        <w:pStyle w:val="Body"/>
      </w:pPr>
      <w:r w:rsidRPr="00831E73">
        <w:t>The Offeror will also pay, on the Settlement Date, Accrued Interest Payments in respect to the Notes accepted for purchase pursuant to the Tender Offer.</w:t>
      </w:r>
      <w:r w:rsidR="00B52D8F">
        <w:t xml:space="preserve"> </w:t>
      </w:r>
      <w:r w:rsidRPr="001F2F8F" w:rsidR="001F2F8F">
        <w:t>The expected Settlement Date is 1</w:t>
      </w:r>
      <w:r w:rsidR="00431A91">
        <w:t>1</w:t>
      </w:r>
      <w:r w:rsidRPr="001F2F8F" w:rsidR="001F2F8F">
        <w:t xml:space="preserve"> April 2023, which is after the Q1 2023 coupon payment date. </w:t>
      </w:r>
      <w:r w:rsidRPr="00EE6444" w:rsidR="00EE6444">
        <w:t xml:space="preserve">All </w:t>
      </w:r>
      <w:r w:rsidR="00534703">
        <w:t>Noteholders</w:t>
      </w:r>
      <w:r w:rsidRPr="00EE6444" w:rsidR="00EE6444">
        <w:t xml:space="preserve"> will receive their full coupon payment for Q1 </w:t>
      </w:r>
      <w:r w:rsidR="00D83868">
        <w:t>2023</w:t>
      </w:r>
      <w:r w:rsidRPr="00EE6444" w:rsidR="00EE6444">
        <w:t xml:space="preserve">. </w:t>
      </w:r>
      <w:r w:rsidR="00534703">
        <w:t>Noteholders</w:t>
      </w:r>
      <w:r w:rsidRPr="00EE6444" w:rsidR="00534703">
        <w:t xml:space="preserve"> </w:t>
      </w:r>
      <w:r w:rsidRPr="00EE6444" w:rsidR="00EE6444">
        <w:t xml:space="preserve">who participate in the </w:t>
      </w:r>
      <w:r w:rsidR="00D83868">
        <w:t>T</w:t>
      </w:r>
      <w:r w:rsidRPr="00EE6444" w:rsidR="00EE6444">
        <w:t xml:space="preserve">ender </w:t>
      </w:r>
      <w:r w:rsidR="00D83868">
        <w:t>O</w:t>
      </w:r>
      <w:r w:rsidRPr="00EE6444" w:rsidR="00EE6444">
        <w:t xml:space="preserve">ffer will also receive </w:t>
      </w:r>
      <w:r w:rsidR="00D83868">
        <w:t>A</w:t>
      </w:r>
      <w:r w:rsidRPr="00EE6444" w:rsidR="00EE6444">
        <w:t xml:space="preserve">ccrued </w:t>
      </w:r>
      <w:r w:rsidR="00D83868">
        <w:t>I</w:t>
      </w:r>
      <w:r w:rsidRPr="00EE6444" w:rsidR="00EE6444">
        <w:t>nterest from 31 March  2023 through 1</w:t>
      </w:r>
      <w:r w:rsidR="00431A91">
        <w:t>1</w:t>
      </w:r>
      <w:r w:rsidRPr="00EE6444" w:rsidR="00EE6444">
        <w:t xml:space="preserve"> April 2023 or such other </w:t>
      </w:r>
      <w:r w:rsidR="00655A7B">
        <w:t>S</w:t>
      </w:r>
      <w:r w:rsidRPr="00EE6444" w:rsidR="00EE6444">
        <w:t xml:space="preserve">ettlement </w:t>
      </w:r>
      <w:r w:rsidR="00655A7B">
        <w:t>D</w:t>
      </w:r>
      <w:r w:rsidRPr="00EE6444" w:rsidR="00EE6444">
        <w:t xml:space="preserve">ate as is announced by the </w:t>
      </w:r>
      <w:r w:rsidR="00655A7B">
        <w:t>O</w:t>
      </w:r>
      <w:r w:rsidRPr="00EE6444" w:rsidR="00EE6444">
        <w:t>fferor subject to the right of the</w:t>
      </w:r>
      <w:r w:rsidR="002F2BE0">
        <w:t xml:space="preserve"> </w:t>
      </w:r>
      <w:r w:rsidR="00655A7B">
        <w:t>O</w:t>
      </w:r>
      <w:r w:rsidRPr="00EE6444" w:rsidR="00EE6444">
        <w:t xml:space="preserve">fferor to extend, amend and/or terminate the </w:t>
      </w:r>
      <w:r w:rsidR="00655A7B">
        <w:t>Tender Offer</w:t>
      </w:r>
      <w:r w:rsidRPr="001F2F8F" w:rsidR="001F2F8F">
        <w:t>.</w:t>
      </w:r>
    </w:p>
    <w:p w:rsidRPr="00831E73" w:rsidR="005003BC" w:rsidP="006C6824" w:rsidRDefault="005003BC" w14:paraId="033777E4" w14:textId="3B524C23">
      <w:pPr>
        <w:pStyle w:val="Body"/>
        <w:rPr>
          <w:color w:val="000000"/>
        </w:rPr>
      </w:pPr>
      <w:r w:rsidRPr="00831E73">
        <w:rPr>
          <w:color w:val="000000"/>
        </w:rPr>
        <w:t xml:space="preserve">In order to participate in, and be eligible to receive the relevant Purchase Price Payment and Accrued Interest Payment pursuant to the Tender Offer, Holders must validly tender their Notes by delivering, or arranging to have delivered on their behalf, a valid Tender Instruction that is received by the </w:t>
      </w:r>
      <w:r w:rsidR="0027613F">
        <w:rPr>
          <w:color w:val="000000"/>
        </w:rPr>
        <w:t>Tender Agent</w:t>
      </w:r>
      <w:r w:rsidRPr="00831E73">
        <w:rPr>
          <w:color w:val="000000"/>
        </w:rPr>
        <w:t xml:space="preserve"> by the </w:t>
      </w:r>
      <w:r w:rsidRPr="00831E73">
        <w:rPr>
          <w:bCs/>
          <w:color w:val="000000"/>
        </w:rPr>
        <w:t>Expiration Deadline</w:t>
      </w:r>
      <w:r w:rsidRPr="00831E73">
        <w:rPr>
          <w:color w:val="000000"/>
        </w:rPr>
        <w:t>. See “</w:t>
      </w:r>
      <w:r w:rsidRPr="00831E73">
        <w:rPr>
          <w:i/>
          <w:color w:val="000000"/>
        </w:rPr>
        <w:t>Procedures for Participating in the Tender Offer</w:t>
      </w:r>
      <w:r w:rsidRPr="00831E73">
        <w:rPr>
          <w:iCs/>
          <w:color w:val="000000"/>
        </w:rPr>
        <w:t>”</w:t>
      </w:r>
      <w:r w:rsidRPr="00831E73">
        <w:rPr>
          <w:color w:val="000000"/>
        </w:rPr>
        <w:t>.</w:t>
      </w:r>
      <w:r w:rsidR="006C6824">
        <w:rPr>
          <w:color w:val="000000"/>
        </w:rPr>
        <w:t xml:space="preserve"> </w:t>
      </w:r>
      <w:r w:rsidRPr="00831E73">
        <w:t>A Tender Instruction must specify a Submitted Purchase Price and a Submitted Purchase Amount. See “</w:t>
      </w:r>
      <w:r w:rsidRPr="00831E73" w:rsidR="008A1555">
        <w:rPr>
          <w:i/>
          <w:iCs/>
        </w:rPr>
        <w:t>Terms and Conditions of the</w:t>
      </w:r>
      <w:r w:rsidRPr="00831E73" w:rsidR="008A1555">
        <w:t xml:space="preserve"> </w:t>
      </w:r>
      <w:r w:rsidRPr="00831E73" w:rsidR="008A1555">
        <w:rPr>
          <w:i/>
          <w:iCs/>
        </w:rPr>
        <w:t>Tender Offer</w:t>
      </w:r>
      <w:r w:rsidR="00BD14A1">
        <w:rPr>
          <w:i/>
          <w:iCs/>
        </w:rPr>
        <w:t xml:space="preserve"> </w:t>
      </w:r>
      <w:r w:rsidRPr="00831E73">
        <w:rPr>
          <w:i/>
          <w:iCs/>
        </w:rPr>
        <w:t xml:space="preserve">–Submission of </w:t>
      </w:r>
      <w:r w:rsidRPr="007E2B09" w:rsidR="007E2B09">
        <w:rPr>
          <w:i/>
          <w:iCs/>
        </w:rPr>
        <w:t>Tender Instruction</w:t>
      </w:r>
      <w:r w:rsidRPr="00831E73">
        <w:rPr>
          <w:i/>
          <w:iCs/>
        </w:rPr>
        <w:t>s by Noteholders</w:t>
      </w:r>
      <w:r w:rsidRPr="00831E73">
        <w:t>”</w:t>
      </w:r>
      <w:r w:rsidR="00F149A5">
        <w:t>.</w:t>
      </w:r>
    </w:p>
    <w:p w:rsidRPr="00106283" w:rsidR="005003BC" w:rsidP="002F00DB" w:rsidRDefault="005003BC" w14:paraId="5F00A3BD" w14:textId="281B92FC">
      <w:pPr>
        <w:pStyle w:val="Body"/>
        <w:rPr>
          <w:color w:val="000000"/>
        </w:rPr>
      </w:pPr>
      <w:r w:rsidRPr="00831E73">
        <w:rPr>
          <w:color w:val="000000"/>
        </w:rPr>
        <w:t xml:space="preserve">The Offeror </w:t>
      </w:r>
      <w:r w:rsidR="00BD14A1">
        <w:rPr>
          <w:color w:val="000000"/>
        </w:rPr>
        <w:t>is</w:t>
      </w:r>
      <w:r w:rsidRPr="00831E73">
        <w:rPr>
          <w:color w:val="000000"/>
        </w:rPr>
        <w:t xml:space="preserve"> </w:t>
      </w:r>
      <w:r w:rsidRPr="00106283">
        <w:rPr>
          <w:color w:val="000000"/>
        </w:rPr>
        <w:t xml:space="preserve">expected to announce the results of the Tender Offer on the next business day after the Expiration Deadline. </w:t>
      </w:r>
      <w:r w:rsidRPr="00106283">
        <w:t>See “</w:t>
      </w:r>
      <w:r w:rsidRPr="00106283">
        <w:rPr>
          <w:i/>
          <w:iCs/>
        </w:rPr>
        <w:t>Terms and Conditions of the</w:t>
      </w:r>
      <w:r w:rsidRPr="00106283">
        <w:t xml:space="preserve"> </w:t>
      </w:r>
      <w:r w:rsidRPr="00106283">
        <w:rPr>
          <w:i/>
          <w:iCs/>
        </w:rPr>
        <w:t>Tender Offer– Announcements</w:t>
      </w:r>
      <w:r w:rsidRPr="00106283">
        <w:t>”</w:t>
      </w:r>
      <w:r w:rsidRPr="00106283" w:rsidR="00F149A5">
        <w:t>.</w:t>
      </w:r>
    </w:p>
    <w:p w:rsidRPr="00831E73" w:rsidR="005003BC" w:rsidP="002F00DB" w:rsidRDefault="005003BC" w14:paraId="46340BFA" w14:textId="6F1F6F4D">
      <w:pPr>
        <w:pStyle w:val="Body"/>
        <w:rPr>
          <w:color w:val="000000"/>
        </w:rPr>
      </w:pPr>
      <w:r w:rsidRPr="00106283">
        <w:rPr>
          <w:color w:val="000000"/>
        </w:rPr>
        <w:t xml:space="preserve">The expected Settlement Date for the Tender Offer is </w:t>
      </w:r>
      <w:r w:rsidR="00F10E81">
        <w:t>1</w:t>
      </w:r>
      <w:r w:rsidR="00431A91">
        <w:t>1</w:t>
      </w:r>
      <w:r w:rsidR="00F10E81">
        <w:t xml:space="preserve"> April</w:t>
      </w:r>
      <w:r w:rsidRPr="00106283" w:rsidR="00BD14A1">
        <w:t xml:space="preserve"> </w:t>
      </w:r>
      <w:r w:rsidRPr="00106283">
        <w:t>202</w:t>
      </w:r>
      <w:r w:rsidRPr="00106283" w:rsidR="00BD14A1">
        <w:t>3</w:t>
      </w:r>
      <w:r w:rsidRPr="00106283">
        <w:rPr>
          <w:color w:val="000000"/>
        </w:rPr>
        <w:t>.</w:t>
      </w:r>
      <w:r w:rsidRPr="00333E83" w:rsidR="00333E83">
        <w:t xml:space="preserve"> </w:t>
      </w:r>
    </w:p>
    <w:p w:rsidR="008830BF" w:rsidRDefault="008830BF" w14:paraId="000C29E5" w14:textId="77777777">
      <w:pPr>
        <w:pStyle w:val="Body"/>
        <w:sectPr w:rsidR="008830BF" w:rsidSect="008830BF">
          <w:headerReference w:type="first" r:id="rId18"/>
          <w:pgSz w:w="11907" w:h="16840" w:orient="portrait" w:code="9"/>
          <w:pgMar w:top="1411" w:right="1368" w:bottom="1987" w:left="1282" w:header="1051" w:footer="878" w:gutter="0"/>
          <w:pgBorders w:offsetFrom="page">
            <w:top w:val="single" w:color="auto" w:sz="4" w:space="24"/>
            <w:left w:val="single" w:color="auto" w:sz="4" w:space="24"/>
            <w:bottom w:val="single" w:color="auto" w:sz="4" w:space="24"/>
            <w:right w:val="single" w:color="auto" w:sz="4" w:space="24"/>
          </w:pgBorders>
          <w:cols w:space="720"/>
          <w:titlePg/>
        </w:sectPr>
      </w:pPr>
    </w:p>
    <w:p w:rsidRPr="00742DEE" w:rsidR="005003BC" w:rsidP="008830BF" w:rsidRDefault="00E85B4E" w14:paraId="2212EDF5" w14:textId="10AEAC18">
      <w:pPr>
        <w:pStyle w:val="Head-C"/>
        <w:pageBreakBefore w:val="0"/>
        <w:ind w:left="432"/>
      </w:pPr>
      <w:bookmarkStart w:name="_Toc122976043" w:id="8"/>
      <w:r w:rsidRPr="00742DEE">
        <w:lastRenderedPageBreak/>
        <w:t>OFFER</w:t>
      </w:r>
      <w:r w:rsidR="00BD14A1">
        <w:t xml:space="preserve"> </w:t>
      </w:r>
      <w:r w:rsidRPr="00742DEE">
        <w:t>AND DISTRIBUTION RESTRICTIONS</w:t>
      </w:r>
      <w:bookmarkEnd w:id="8"/>
    </w:p>
    <w:p w:rsidRPr="002F6A72" w:rsidR="005003BC" w:rsidP="002F6A72" w:rsidRDefault="005003BC" w14:paraId="4B3F8E1E" w14:textId="5ED710FE">
      <w:pPr>
        <w:pStyle w:val="Body"/>
        <w:rPr>
          <w:i/>
          <w:iCs/>
        </w:rPr>
      </w:pPr>
      <w:r w:rsidRPr="002F6A72">
        <w:rPr>
          <w:i/>
          <w:iCs/>
        </w:rPr>
        <w:t xml:space="preserve">This </w:t>
      </w:r>
      <w:r w:rsidR="005C4C34">
        <w:rPr>
          <w:i/>
          <w:iCs/>
        </w:rPr>
        <w:t>Tender Offer Memorandum</w:t>
      </w:r>
      <w:r w:rsidRPr="002F6A72">
        <w:rPr>
          <w:i/>
          <w:iCs/>
        </w:rPr>
        <w:t xml:space="preserve"> does not constitute an invitation to participate in the Tender Offer in any jurisdiction in which, or to any person to or from whom, it is unlawful to make such invitation or for there to be such participation under applicable securities laws. The distribution of the </w:t>
      </w:r>
      <w:r w:rsidR="005C4C34">
        <w:rPr>
          <w:i/>
          <w:iCs/>
        </w:rPr>
        <w:t>Tender Offer Memorandum</w:t>
      </w:r>
      <w:r w:rsidRPr="002F6A72">
        <w:rPr>
          <w:i/>
          <w:iCs/>
        </w:rPr>
        <w:t xml:space="preserve"> in certain jurisdictions may be restricted by law. Persons into whose possession the </w:t>
      </w:r>
      <w:r w:rsidR="005C4C34">
        <w:rPr>
          <w:i/>
          <w:iCs/>
        </w:rPr>
        <w:t>Tender Offer Memorandum</w:t>
      </w:r>
      <w:r w:rsidRPr="002F6A72">
        <w:rPr>
          <w:i/>
          <w:iCs/>
        </w:rPr>
        <w:t xml:space="preserve"> comes are required by the Offeror</w:t>
      </w:r>
      <w:r w:rsidR="00D52CDA">
        <w:rPr>
          <w:i/>
          <w:iCs/>
        </w:rPr>
        <w:t xml:space="preserve"> </w:t>
      </w:r>
      <w:r w:rsidRPr="002F6A72">
        <w:rPr>
          <w:i/>
          <w:iCs/>
        </w:rPr>
        <w:t xml:space="preserve">and the </w:t>
      </w:r>
      <w:r w:rsidR="0027613F">
        <w:rPr>
          <w:i/>
          <w:iCs/>
        </w:rPr>
        <w:t>Tender Agent</w:t>
      </w:r>
      <w:r w:rsidRPr="002F6A72">
        <w:rPr>
          <w:i/>
          <w:iCs/>
        </w:rPr>
        <w:t xml:space="preserve"> to inform themselves about, and to observe, any such restrictions. If any recipient of this </w:t>
      </w:r>
      <w:r w:rsidR="005C4C34">
        <w:rPr>
          <w:i/>
          <w:iCs/>
        </w:rPr>
        <w:t>Tender Offer Memorandum</w:t>
      </w:r>
      <w:r w:rsidRPr="002F6A72">
        <w:rPr>
          <w:i/>
          <w:iCs/>
        </w:rPr>
        <w:t xml:space="preserve"> is in any doubt as to the contents hereof or the action it should take, it is recommended to seek its own financial and legal advice, including in respect of any tax consequences, immediately from its stockbroker, bank manager, solicitor, accountant or other independent financial, tax or legal adviser.</w:t>
      </w:r>
    </w:p>
    <w:p w:rsidR="005003BC" w:rsidP="00E85B4E" w:rsidRDefault="005003BC" w14:paraId="603C04FD" w14:textId="77777777">
      <w:pPr>
        <w:pStyle w:val="Head"/>
      </w:pPr>
      <w:bookmarkStart w:name="_Toc122976044" w:id="9"/>
      <w:r>
        <w:t>European Economic Area</w:t>
      </w:r>
      <w:bookmarkEnd w:id="9"/>
    </w:p>
    <w:p w:rsidRPr="009F4330" w:rsidR="005003BC" w:rsidP="002F6A72" w:rsidRDefault="005003BC" w14:paraId="799853EB" w14:textId="4139E007">
      <w:pPr>
        <w:pStyle w:val="Body"/>
        <w:rPr>
          <w:color w:val="000000" w:themeColor="text1"/>
          <w:szCs w:val="26"/>
        </w:rPr>
      </w:pPr>
      <w:r w:rsidRPr="009F4330">
        <w:rPr>
          <w:color w:val="000000" w:themeColor="text1"/>
          <w:szCs w:val="26"/>
        </w:rPr>
        <w:t xml:space="preserve">In any member state of the </w:t>
      </w:r>
      <w:r>
        <w:rPr>
          <w:color w:val="000000" w:themeColor="text1"/>
          <w:szCs w:val="26"/>
        </w:rPr>
        <w:t>European</w:t>
      </w:r>
      <w:r w:rsidRPr="009F4330">
        <w:rPr>
          <w:color w:val="000000" w:themeColor="text1"/>
          <w:szCs w:val="26"/>
        </w:rPr>
        <w:t xml:space="preserve"> Economic Area (a </w:t>
      </w:r>
      <w:r>
        <w:rPr>
          <w:color w:val="000000" w:themeColor="text1"/>
          <w:szCs w:val="26"/>
        </w:rPr>
        <w:t>“</w:t>
      </w:r>
      <w:r w:rsidRPr="001E5CF8">
        <w:rPr>
          <w:b/>
          <w:bCs/>
          <w:color w:val="000000" w:themeColor="text1"/>
          <w:szCs w:val="26"/>
        </w:rPr>
        <w:t>EEA Member State</w:t>
      </w:r>
      <w:r>
        <w:rPr>
          <w:color w:val="000000" w:themeColor="text1"/>
          <w:szCs w:val="26"/>
        </w:rPr>
        <w:t>”</w:t>
      </w:r>
      <w:r w:rsidRPr="009F4330">
        <w:rPr>
          <w:color w:val="000000" w:themeColor="text1"/>
          <w:szCs w:val="26"/>
        </w:rPr>
        <w:t xml:space="preserve">), this </w:t>
      </w:r>
      <w:r w:rsidR="005C4C34">
        <w:rPr>
          <w:color w:val="000000" w:themeColor="text1"/>
          <w:szCs w:val="26"/>
        </w:rPr>
        <w:t>Tender Offer Memorandum</w:t>
      </w:r>
      <w:r w:rsidRPr="009F4330">
        <w:rPr>
          <w:color w:val="000000" w:themeColor="text1"/>
          <w:szCs w:val="26"/>
        </w:rPr>
        <w:t xml:space="preserve"> is only addressed to and is only directed at qualified investors within the meaning of Article 2(e) of </w:t>
      </w:r>
      <w:r w:rsidRPr="00532D69">
        <w:rPr>
          <w:color w:val="000000" w:themeColor="text1"/>
          <w:szCs w:val="26"/>
        </w:rPr>
        <w:t xml:space="preserve">Regulation (EU) 2017/1129, as amended </w:t>
      </w:r>
      <w:r>
        <w:rPr>
          <w:color w:val="000000" w:themeColor="text1"/>
          <w:szCs w:val="26"/>
        </w:rPr>
        <w:t>(</w:t>
      </w:r>
      <w:r w:rsidRPr="009F4330">
        <w:rPr>
          <w:color w:val="000000" w:themeColor="text1"/>
          <w:szCs w:val="26"/>
        </w:rPr>
        <w:t xml:space="preserve">the </w:t>
      </w:r>
      <w:r>
        <w:rPr>
          <w:color w:val="000000" w:themeColor="text1"/>
          <w:szCs w:val="26"/>
        </w:rPr>
        <w:t>“</w:t>
      </w:r>
      <w:r w:rsidRPr="00532D69">
        <w:rPr>
          <w:b/>
          <w:bCs/>
          <w:color w:val="000000" w:themeColor="text1"/>
          <w:szCs w:val="26"/>
        </w:rPr>
        <w:t>Prospectus Regulation</w:t>
      </w:r>
      <w:r>
        <w:rPr>
          <w:color w:val="000000" w:themeColor="text1"/>
          <w:szCs w:val="26"/>
        </w:rPr>
        <w:t>”)</w:t>
      </w:r>
      <w:r w:rsidRPr="009F4330">
        <w:rPr>
          <w:color w:val="000000" w:themeColor="text1"/>
          <w:szCs w:val="26"/>
        </w:rPr>
        <w:t xml:space="preserve"> in that EEA Member State.</w:t>
      </w:r>
    </w:p>
    <w:p w:rsidRPr="00090F56" w:rsidR="005003BC" w:rsidP="00E85B4E" w:rsidRDefault="005003BC" w14:paraId="63D861CB" w14:textId="77777777">
      <w:pPr>
        <w:pStyle w:val="Head"/>
        <w:rPr>
          <w:b w:val="0"/>
          <w:bCs/>
          <w:color w:val="000000" w:themeColor="text1"/>
          <w:szCs w:val="26"/>
        </w:rPr>
      </w:pPr>
      <w:bookmarkStart w:name="_Toc122976045" w:id="10"/>
      <w:r w:rsidRPr="00090F56">
        <w:rPr>
          <w:bCs/>
          <w:color w:val="000000" w:themeColor="text1"/>
          <w:szCs w:val="26"/>
        </w:rPr>
        <w:t>Italy</w:t>
      </w:r>
      <w:bookmarkEnd w:id="10"/>
    </w:p>
    <w:p w:rsidRPr="00491ECC" w:rsidR="005003BC" w:rsidP="002F6A72" w:rsidRDefault="005003BC" w14:paraId="7F2C99A9" w14:textId="45C38D41">
      <w:pPr>
        <w:pStyle w:val="Body"/>
        <w:rPr>
          <w:bCs/>
          <w:color w:val="000000" w:themeColor="text1"/>
          <w:szCs w:val="26"/>
        </w:rPr>
      </w:pPr>
      <w:r w:rsidRPr="00491ECC">
        <w:rPr>
          <w:bCs/>
          <w:color w:val="000000" w:themeColor="text1"/>
          <w:szCs w:val="26"/>
        </w:rPr>
        <w:t>N</w:t>
      </w:r>
      <w:r w:rsidR="00577206">
        <w:rPr>
          <w:bCs/>
          <w:color w:val="000000" w:themeColor="text1"/>
          <w:szCs w:val="26"/>
        </w:rPr>
        <w:t>either</w:t>
      </w:r>
      <w:r w:rsidRPr="00491ECC">
        <w:rPr>
          <w:bCs/>
          <w:color w:val="000000" w:themeColor="text1"/>
          <w:szCs w:val="26"/>
        </w:rPr>
        <w:t xml:space="preserve"> </w:t>
      </w:r>
      <w:r>
        <w:rPr>
          <w:bCs/>
          <w:color w:val="000000" w:themeColor="text1"/>
          <w:szCs w:val="26"/>
        </w:rPr>
        <w:t xml:space="preserve">the </w:t>
      </w:r>
      <w:r w:rsidR="005C4C34">
        <w:rPr>
          <w:color w:val="000000" w:themeColor="text1"/>
          <w:szCs w:val="26"/>
        </w:rPr>
        <w:t>Tender Offer Memorandum</w:t>
      </w:r>
      <w:r w:rsidRPr="00491ECC">
        <w:rPr>
          <w:bCs/>
          <w:color w:val="000000" w:themeColor="text1"/>
          <w:szCs w:val="26"/>
        </w:rPr>
        <w:t xml:space="preserve"> </w:t>
      </w:r>
      <w:r w:rsidR="001C2918">
        <w:rPr>
          <w:bCs/>
          <w:color w:val="000000" w:themeColor="text1"/>
          <w:szCs w:val="26"/>
        </w:rPr>
        <w:t>n</w:t>
      </w:r>
      <w:r w:rsidRPr="00491ECC">
        <w:rPr>
          <w:bCs/>
          <w:color w:val="000000" w:themeColor="text1"/>
          <w:szCs w:val="26"/>
        </w:rPr>
        <w:t xml:space="preserve">or any other documents or materials relating to the </w:t>
      </w:r>
      <w:r>
        <w:t xml:space="preserve">Tender </w:t>
      </w:r>
      <w:r>
        <w:rPr>
          <w:bCs/>
          <w:color w:val="000000" w:themeColor="text1"/>
          <w:szCs w:val="26"/>
        </w:rPr>
        <w:t>Offer</w:t>
      </w:r>
      <w:r w:rsidRPr="00491ECC">
        <w:rPr>
          <w:bCs/>
          <w:color w:val="000000" w:themeColor="text1"/>
          <w:szCs w:val="26"/>
        </w:rPr>
        <w:t xml:space="preserve"> have been or will be submitted to the clearance procedure of the </w:t>
      </w:r>
      <w:proofErr w:type="spellStart"/>
      <w:r w:rsidRPr="00491ECC">
        <w:rPr>
          <w:bCs/>
          <w:i/>
          <w:iCs/>
          <w:color w:val="000000" w:themeColor="text1"/>
          <w:szCs w:val="26"/>
        </w:rPr>
        <w:t>Commissione</w:t>
      </w:r>
      <w:proofErr w:type="spellEnd"/>
      <w:r w:rsidRPr="00491ECC">
        <w:rPr>
          <w:bCs/>
          <w:i/>
          <w:iCs/>
          <w:color w:val="000000" w:themeColor="text1"/>
          <w:szCs w:val="26"/>
        </w:rPr>
        <w:t xml:space="preserve"> Nazionale per le </w:t>
      </w:r>
      <w:proofErr w:type="spellStart"/>
      <w:r w:rsidRPr="00491ECC">
        <w:rPr>
          <w:bCs/>
          <w:i/>
          <w:iCs/>
          <w:color w:val="000000" w:themeColor="text1"/>
          <w:szCs w:val="26"/>
        </w:rPr>
        <w:t>Società</w:t>
      </w:r>
      <w:proofErr w:type="spellEnd"/>
      <w:r w:rsidRPr="00491ECC">
        <w:rPr>
          <w:bCs/>
          <w:i/>
          <w:iCs/>
          <w:color w:val="000000" w:themeColor="text1"/>
          <w:szCs w:val="26"/>
        </w:rPr>
        <w:t xml:space="preserve"> e la </w:t>
      </w:r>
      <w:proofErr w:type="spellStart"/>
      <w:r w:rsidRPr="00491ECC">
        <w:rPr>
          <w:bCs/>
          <w:i/>
          <w:iCs/>
          <w:color w:val="000000" w:themeColor="text1"/>
          <w:szCs w:val="26"/>
        </w:rPr>
        <w:t>Borsa</w:t>
      </w:r>
      <w:proofErr w:type="spellEnd"/>
      <w:r w:rsidRPr="00491ECC">
        <w:rPr>
          <w:bCs/>
          <w:color w:val="000000" w:themeColor="text1"/>
          <w:szCs w:val="26"/>
        </w:rPr>
        <w:t xml:space="preserve"> (CONSOB) pursuant to Italian laws and regulations.</w:t>
      </w:r>
    </w:p>
    <w:p w:rsidRPr="00491ECC" w:rsidR="005003BC" w:rsidP="002F6A72" w:rsidRDefault="005003BC" w14:paraId="6D0FDE54" w14:textId="1617A758">
      <w:pPr>
        <w:pStyle w:val="Body"/>
        <w:rPr>
          <w:bCs/>
          <w:color w:val="000000" w:themeColor="text1"/>
          <w:szCs w:val="26"/>
        </w:rPr>
      </w:pPr>
      <w:r w:rsidRPr="00491ECC">
        <w:rPr>
          <w:bCs/>
          <w:color w:val="000000" w:themeColor="text1"/>
          <w:szCs w:val="26"/>
        </w:rPr>
        <w:t xml:space="preserve">The </w:t>
      </w:r>
      <w:r>
        <w:t xml:space="preserve">Tender </w:t>
      </w:r>
      <w:r w:rsidRPr="00491ECC">
        <w:rPr>
          <w:bCs/>
          <w:color w:val="000000" w:themeColor="text1"/>
          <w:szCs w:val="26"/>
        </w:rPr>
        <w:t xml:space="preserve">Offer </w:t>
      </w:r>
      <w:r w:rsidR="006B074A">
        <w:rPr>
          <w:bCs/>
          <w:color w:val="000000" w:themeColor="text1"/>
          <w:szCs w:val="26"/>
        </w:rPr>
        <w:t xml:space="preserve">is </w:t>
      </w:r>
      <w:r w:rsidRPr="00491ECC">
        <w:rPr>
          <w:bCs/>
          <w:color w:val="000000" w:themeColor="text1"/>
          <w:szCs w:val="26"/>
        </w:rPr>
        <w:t xml:space="preserve">being carried out in the Republic of Italy as an exempted offer pursuant to article 101-bis, paragraph 3-bis of the Legislative Decree No. 58 of 24 February 1998, as amended (the </w:t>
      </w:r>
      <w:r>
        <w:rPr>
          <w:bCs/>
          <w:color w:val="000000" w:themeColor="text1"/>
          <w:szCs w:val="26"/>
        </w:rPr>
        <w:t>“</w:t>
      </w:r>
      <w:r w:rsidRPr="00491ECC">
        <w:rPr>
          <w:b/>
          <w:color w:val="000000" w:themeColor="text1"/>
          <w:szCs w:val="26"/>
        </w:rPr>
        <w:t>Financial Services Act</w:t>
      </w:r>
      <w:r>
        <w:rPr>
          <w:bCs/>
          <w:color w:val="000000" w:themeColor="text1"/>
          <w:szCs w:val="26"/>
        </w:rPr>
        <w:t>”</w:t>
      </w:r>
      <w:r w:rsidRPr="00491ECC">
        <w:rPr>
          <w:bCs/>
          <w:color w:val="000000" w:themeColor="text1"/>
          <w:szCs w:val="26"/>
        </w:rPr>
        <w:t xml:space="preserve">) and article 35-bis, paragraph 4 of CONSOB Regulation No. 11971 of 14 May 1999, as amended (the </w:t>
      </w:r>
      <w:r>
        <w:rPr>
          <w:bCs/>
          <w:color w:val="000000" w:themeColor="text1"/>
          <w:szCs w:val="26"/>
        </w:rPr>
        <w:t>“</w:t>
      </w:r>
      <w:r w:rsidRPr="00491ECC">
        <w:rPr>
          <w:b/>
          <w:color w:val="000000" w:themeColor="text1"/>
          <w:szCs w:val="26"/>
        </w:rPr>
        <w:t>Issuers</w:t>
      </w:r>
      <w:r>
        <w:rPr>
          <w:b/>
          <w:color w:val="000000" w:themeColor="text1"/>
          <w:szCs w:val="26"/>
        </w:rPr>
        <w:t>’</w:t>
      </w:r>
      <w:r w:rsidRPr="00491ECC">
        <w:rPr>
          <w:b/>
          <w:color w:val="000000" w:themeColor="text1"/>
          <w:szCs w:val="26"/>
        </w:rPr>
        <w:t xml:space="preserve"> Regulation</w:t>
      </w:r>
      <w:r>
        <w:rPr>
          <w:bCs/>
          <w:color w:val="000000" w:themeColor="text1"/>
          <w:szCs w:val="26"/>
        </w:rPr>
        <w:t>”</w:t>
      </w:r>
      <w:r w:rsidRPr="00491ECC">
        <w:rPr>
          <w:bCs/>
          <w:color w:val="000000" w:themeColor="text1"/>
          <w:szCs w:val="26"/>
        </w:rPr>
        <w:t>). The</w:t>
      </w:r>
      <w:r w:rsidRPr="008112B5">
        <w:t xml:space="preserve"> </w:t>
      </w:r>
      <w:r>
        <w:t>Tender</w:t>
      </w:r>
      <w:r w:rsidRPr="00491ECC">
        <w:rPr>
          <w:bCs/>
          <w:color w:val="000000" w:themeColor="text1"/>
          <w:szCs w:val="26"/>
        </w:rPr>
        <w:t xml:space="preserve"> Offer </w:t>
      </w:r>
      <w:r w:rsidR="006B074A">
        <w:rPr>
          <w:bCs/>
          <w:color w:val="000000" w:themeColor="text1"/>
          <w:szCs w:val="26"/>
        </w:rPr>
        <w:t>is</w:t>
      </w:r>
      <w:r w:rsidRPr="00491ECC" w:rsidR="00CC2A90">
        <w:rPr>
          <w:bCs/>
          <w:color w:val="000000" w:themeColor="text1"/>
          <w:szCs w:val="26"/>
        </w:rPr>
        <w:t xml:space="preserve"> </w:t>
      </w:r>
      <w:r w:rsidRPr="00491ECC">
        <w:rPr>
          <w:bCs/>
          <w:color w:val="000000" w:themeColor="text1"/>
          <w:szCs w:val="26"/>
        </w:rPr>
        <w:t>also being carried out in compliance with article 35-bis, paragraph 7 of the Issuers</w:t>
      </w:r>
      <w:r>
        <w:rPr>
          <w:bCs/>
          <w:color w:val="000000" w:themeColor="text1"/>
          <w:szCs w:val="26"/>
        </w:rPr>
        <w:t>’</w:t>
      </w:r>
      <w:r w:rsidRPr="00491ECC">
        <w:rPr>
          <w:bCs/>
          <w:color w:val="000000" w:themeColor="text1"/>
          <w:szCs w:val="26"/>
        </w:rPr>
        <w:t xml:space="preserve"> Regulation.</w:t>
      </w:r>
    </w:p>
    <w:p w:rsidRPr="00491ECC" w:rsidR="005003BC" w:rsidP="002F6A72" w:rsidRDefault="005003BC" w14:paraId="14D13920" w14:textId="247BA753">
      <w:pPr>
        <w:pStyle w:val="Body"/>
        <w:rPr>
          <w:bCs/>
          <w:color w:val="000000" w:themeColor="text1"/>
          <w:szCs w:val="26"/>
        </w:rPr>
      </w:pPr>
      <w:r w:rsidRPr="00491ECC">
        <w:rPr>
          <w:bCs/>
          <w:color w:val="000000" w:themeColor="text1"/>
          <w:szCs w:val="26"/>
        </w:rPr>
        <w:t xml:space="preserve">A holder of </w:t>
      </w:r>
      <w:r>
        <w:rPr>
          <w:bCs/>
          <w:color w:val="000000" w:themeColor="text1"/>
          <w:szCs w:val="26"/>
        </w:rPr>
        <w:t>Notes</w:t>
      </w:r>
      <w:r w:rsidRPr="00491ECC">
        <w:rPr>
          <w:bCs/>
          <w:color w:val="000000" w:themeColor="text1"/>
          <w:szCs w:val="26"/>
        </w:rPr>
        <w:t xml:space="preserve"> located in the Republic of Italy can tender </w:t>
      </w:r>
      <w:r>
        <w:rPr>
          <w:bCs/>
          <w:color w:val="000000" w:themeColor="text1"/>
          <w:szCs w:val="26"/>
        </w:rPr>
        <w:t>Notes</w:t>
      </w:r>
      <w:r w:rsidRPr="00491ECC">
        <w:rPr>
          <w:bCs/>
          <w:color w:val="000000" w:themeColor="text1"/>
          <w:szCs w:val="26"/>
        </w:rPr>
        <w:t xml:space="preserve"> through authorised persons (such as investment firms, banks or financial intermediaries permitted to conduct such activities in the Republic of Italy in accordance with the Financial Services Act, CONSOB Regulation No. 20307 of 15 February 2018, as amended from time to time, and Legislative Decree No. 385 of </w:t>
      </w:r>
      <w:r w:rsidR="00FF1824">
        <w:rPr>
          <w:bCs/>
          <w:color w:val="000000" w:themeColor="text1"/>
          <w:szCs w:val="26"/>
        </w:rPr>
        <w:t xml:space="preserve">1 </w:t>
      </w:r>
      <w:r w:rsidRPr="00491ECC">
        <w:rPr>
          <w:bCs/>
          <w:color w:val="000000" w:themeColor="text1"/>
          <w:szCs w:val="26"/>
        </w:rPr>
        <w:t>September 1993, as amended) and in compliance with applicable laws and regulations or with requirements imposed by CONSOB or any other Italian authority.</w:t>
      </w:r>
    </w:p>
    <w:p w:rsidRPr="00090F56" w:rsidR="005003BC" w:rsidP="002F6A72" w:rsidRDefault="005003BC" w14:paraId="398936CD" w14:textId="51A8D88F">
      <w:pPr>
        <w:pStyle w:val="Body"/>
        <w:rPr>
          <w:bCs/>
          <w:color w:val="000000" w:themeColor="text1"/>
          <w:szCs w:val="26"/>
        </w:rPr>
      </w:pPr>
      <w:r w:rsidRPr="00491ECC">
        <w:rPr>
          <w:bCs/>
          <w:color w:val="000000" w:themeColor="text1"/>
          <w:szCs w:val="26"/>
        </w:rPr>
        <w:t xml:space="preserve">Each intermediary must comply with the applicable laws and regulations concerning information duties vis-à-vis its clients in connection with the </w:t>
      </w:r>
      <w:r>
        <w:rPr>
          <w:bCs/>
          <w:color w:val="000000" w:themeColor="text1"/>
          <w:szCs w:val="26"/>
        </w:rPr>
        <w:t>Notes</w:t>
      </w:r>
      <w:r w:rsidR="00B91DB1">
        <w:rPr>
          <w:bCs/>
          <w:color w:val="000000" w:themeColor="text1"/>
          <w:szCs w:val="26"/>
        </w:rPr>
        <w:t xml:space="preserve"> and </w:t>
      </w:r>
      <w:r w:rsidRPr="00491ECC">
        <w:rPr>
          <w:bCs/>
          <w:color w:val="000000" w:themeColor="text1"/>
          <w:szCs w:val="26"/>
        </w:rPr>
        <w:t xml:space="preserve">the </w:t>
      </w:r>
      <w:r>
        <w:t xml:space="preserve">Tender </w:t>
      </w:r>
      <w:r w:rsidRPr="00491ECC">
        <w:rPr>
          <w:bCs/>
          <w:color w:val="000000" w:themeColor="text1"/>
          <w:szCs w:val="26"/>
        </w:rPr>
        <w:t>Offer.</w:t>
      </w:r>
    </w:p>
    <w:p w:rsidRPr="00090F56" w:rsidR="005003BC" w:rsidP="00E85B4E" w:rsidRDefault="005003BC" w14:paraId="60081676" w14:textId="77777777">
      <w:pPr>
        <w:pStyle w:val="Head"/>
        <w:rPr>
          <w:b w:val="0"/>
          <w:bCs/>
          <w:color w:val="000000" w:themeColor="text1"/>
          <w:szCs w:val="26"/>
        </w:rPr>
      </w:pPr>
      <w:bookmarkStart w:name="_Toc122976046" w:id="11"/>
      <w:r w:rsidRPr="00090F56">
        <w:rPr>
          <w:bCs/>
          <w:color w:val="000000" w:themeColor="text1"/>
          <w:szCs w:val="26"/>
        </w:rPr>
        <w:t>United Kingdom</w:t>
      </w:r>
      <w:bookmarkEnd w:id="11"/>
    </w:p>
    <w:p w:rsidRPr="00090F56" w:rsidR="005003BC" w:rsidP="002F6A72" w:rsidRDefault="005003BC" w14:paraId="31528B5A" w14:textId="6539366D">
      <w:pPr>
        <w:pStyle w:val="Body"/>
        <w:rPr>
          <w:bCs/>
          <w:color w:val="000000" w:themeColor="text1"/>
          <w:szCs w:val="26"/>
        </w:rPr>
      </w:pPr>
      <w:r w:rsidRPr="0003638F">
        <w:rPr>
          <w:bCs/>
          <w:color w:val="000000" w:themeColor="text1"/>
          <w:szCs w:val="26"/>
        </w:rPr>
        <w:t xml:space="preserve">The communication of this </w:t>
      </w:r>
      <w:r w:rsidR="005C4C34">
        <w:rPr>
          <w:color w:val="000000" w:themeColor="text1"/>
          <w:szCs w:val="26"/>
        </w:rPr>
        <w:t>Tender Offer Memorandum</w:t>
      </w:r>
      <w:r w:rsidRPr="0003638F">
        <w:rPr>
          <w:bCs/>
          <w:color w:val="000000" w:themeColor="text1"/>
          <w:szCs w:val="26"/>
        </w:rPr>
        <w:t xml:space="preserve"> by the </w:t>
      </w:r>
      <w:r>
        <w:rPr>
          <w:bCs/>
          <w:color w:val="000000" w:themeColor="text1"/>
          <w:szCs w:val="26"/>
        </w:rPr>
        <w:t xml:space="preserve">Offeror </w:t>
      </w:r>
      <w:r w:rsidRPr="0003638F">
        <w:rPr>
          <w:bCs/>
          <w:color w:val="000000" w:themeColor="text1"/>
          <w:szCs w:val="26"/>
        </w:rPr>
        <w:t xml:space="preserve">and any other documents or materials relating to the </w:t>
      </w:r>
      <w:r>
        <w:t xml:space="preserve">Tender </w:t>
      </w:r>
      <w:r w:rsidRPr="0003638F">
        <w:rPr>
          <w:bCs/>
          <w:color w:val="000000" w:themeColor="text1"/>
          <w:szCs w:val="26"/>
        </w:rPr>
        <w:t xml:space="preserve">Offer is not being made, and such documents and/or materials have not been approved, by an authorised person for the purposes of section 21 of the Financial Services and Markets Act 2000 (the </w:t>
      </w:r>
      <w:r>
        <w:rPr>
          <w:bCs/>
          <w:color w:val="000000" w:themeColor="text1"/>
          <w:szCs w:val="26"/>
        </w:rPr>
        <w:t>“</w:t>
      </w:r>
      <w:r w:rsidRPr="0003638F">
        <w:rPr>
          <w:b/>
          <w:color w:val="000000" w:themeColor="text1"/>
          <w:szCs w:val="26"/>
        </w:rPr>
        <w:t>FSMA</w:t>
      </w:r>
      <w:r>
        <w:rPr>
          <w:bCs/>
          <w:color w:val="000000" w:themeColor="text1"/>
          <w:szCs w:val="26"/>
        </w:rPr>
        <w:t>”</w:t>
      </w:r>
      <w:r w:rsidRPr="0003638F">
        <w:rPr>
          <w:bCs/>
          <w:color w:val="000000" w:themeColor="text1"/>
          <w:szCs w:val="26"/>
        </w:rPr>
        <w:t xml:space="preserve">). Accordingly, such documents and/or materials are not being distributed to, and must not be passed on to, the general public in the United Kingdom. The communication of such documents and/or materials is exempt from the restriction on financial promotions under section 21 of the FSMA on the basis that it is only directed at and may be communicated to (1) those persons who are existing members or creditors of the </w:t>
      </w:r>
      <w:r>
        <w:rPr>
          <w:bCs/>
          <w:color w:val="000000" w:themeColor="text1"/>
          <w:szCs w:val="26"/>
        </w:rPr>
        <w:t xml:space="preserve">Offeror </w:t>
      </w:r>
      <w:r w:rsidRPr="0003638F">
        <w:rPr>
          <w:bCs/>
          <w:color w:val="000000" w:themeColor="text1"/>
          <w:szCs w:val="26"/>
        </w:rPr>
        <w:lastRenderedPageBreak/>
        <w:t>or other persons within Article 43 of the Financial Services and Markets Act 2000 (Financial Promotion) Order 2005, and (2) to any other persons to whom these documents and/or materials may lawfully be communicated</w:t>
      </w:r>
      <w:r>
        <w:rPr>
          <w:bCs/>
          <w:color w:val="000000" w:themeColor="text1"/>
          <w:szCs w:val="26"/>
        </w:rPr>
        <w:t>.</w:t>
      </w:r>
    </w:p>
    <w:p w:rsidRPr="00090F56" w:rsidR="005003BC" w:rsidP="00E85B4E" w:rsidRDefault="005003BC" w14:paraId="46B8D768" w14:textId="77777777">
      <w:pPr>
        <w:pStyle w:val="Head"/>
        <w:rPr>
          <w:b w:val="0"/>
          <w:bCs/>
          <w:color w:val="000000" w:themeColor="text1"/>
          <w:szCs w:val="26"/>
        </w:rPr>
      </w:pPr>
      <w:bookmarkStart w:name="_Toc122976047" w:id="12"/>
      <w:r w:rsidRPr="00090F56">
        <w:rPr>
          <w:bCs/>
          <w:color w:val="000000" w:themeColor="text1"/>
          <w:szCs w:val="26"/>
        </w:rPr>
        <w:t>Ireland</w:t>
      </w:r>
      <w:bookmarkEnd w:id="12"/>
    </w:p>
    <w:p w:rsidRPr="00910EC3" w:rsidR="005003BC" w:rsidP="002F6A72" w:rsidRDefault="005003BC" w14:paraId="3C2C9735" w14:textId="3A28F89C">
      <w:pPr>
        <w:pStyle w:val="Body"/>
        <w:rPr>
          <w:bCs/>
          <w:color w:val="000000" w:themeColor="text1"/>
          <w:szCs w:val="26"/>
        </w:rPr>
      </w:pPr>
      <w:r w:rsidRPr="008C4306">
        <w:rPr>
          <w:bCs/>
          <w:color w:val="000000" w:themeColor="text1"/>
          <w:szCs w:val="26"/>
        </w:rPr>
        <w:t xml:space="preserve">This </w:t>
      </w:r>
      <w:r w:rsidR="005C4C34">
        <w:rPr>
          <w:color w:val="000000" w:themeColor="text1"/>
          <w:szCs w:val="26"/>
        </w:rPr>
        <w:t>Tender Offer Memorandum</w:t>
      </w:r>
      <w:r w:rsidRPr="008C4306">
        <w:rPr>
          <w:bCs/>
          <w:color w:val="000000" w:themeColor="text1"/>
          <w:szCs w:val="26"/>
        </w:rPr>
        <w:t xml:space="preserve"> will only be distributed in Ireland in conformity with the provisions of the Companies Act 2014 (as amended), the Central Bank Acts 1942 – 2019 (as amended) and the </w:t>
      </w:r>
      <w:r>
        <w:rPr>
          <w:bCs/>
          <w:color w:val="000000" w:themeColor="text1"/>
          <w:szCs w:val="26"/>
        </w:rPr>
        <w:t>European</w:t>
      </w:r>
      <w:r w:rsidRPr="008C4306">
        <w:rPr>
          <w:bCs/>
          <w:color w:val="000000" w:themeColor="text1"/>
          <w:szCs w:val="26"/>
        </w:rPr>
        <w:t xml:space="preserve"> Union (Markets in Financial Instruments) Regulation 2017, including, without limitation, Regulation 5 thereof or any applicable provisions of Irish law.</w:t>
      </w:r>
    </w:p>
    <w:p w:rsidRPr="00090F56" w:rsidR="005003BC" w:rsidP="00E85B4E" w:rsidRDefault="005003BC" w14:paraId="15B1B1B6" w14:textId="77777777">
      <w:pPr>
        <w:pStyle w:val="Head"/>
        <w:rPr>
          <w:b w:val="0"/>
          <w:bCs/>
          <w:color w:val="000000" w:themeColor="text1"/>
          <w:szCs w:val="26"/>
        </w:rPr>
      </w:pPr>
      <w:bookmarkStart w:name="_Toc122976048" w:id="13"/>
      <w:r w:rsidRPr="00090F56">
        <w:rPr>
          <w:bCs/>
          <w:color w:val="000000" w:themeColor="text1"/>
          <w:szCs w:val="26"/>
        </w:rPr>
        <w:t>General</w:t>
      </w:r>
      <w:bookmarkEnd w:id="13"/>
    </w:p>
    <w:p w:rsidRPr="00090F56" w:rsidR="005003BC" w:rsidP="002F6A72" w:rsidRDefault="005003BC" w14:paraId="5CFB4458" w14:textId="48EEBFD9">
      <w:pPr>
        <w:pStyle w:val="Body"/>
        <w:rPr>
          <w:bCs/>
          <w:color w:val="000000" w:themeColor="text1"/>
          <w:szCs w:val="26"/>
        </w:rPr>
      </w:pPr>
      <w:r w:rsidRPr="00090F56">
        <w:rPr>
          <w:bCs/>
          <w:color w:val="000000" w:themeColor="text1"/>
          <w:szCs w:val="26"/>
        </w:rPr>
        <w:t xml:space="preserve">This </w:t>
      </w:r>
      <w:r w:rsidR="005C4C34">
        <w:rPr>
          <w:color w:val="000000" w:themeColor="text1"/>
          <w:szCs w:val="26"/>
        </w:rPr>
        <w:t>Tender Offer Memorandum</w:t>
      </w:r>
      <w:r w:rsidRPr="00090F56">
        <w:rPr>
          <w:bCs/>
          <w:color w:val="000000" w:themeColor="text1"/>
          <w:szCs w:val="26"/>
        </w:rPr>
        <w:t xml:space="preserve"> does not constitute an offer to sell or buy or the solicitation of an offer to sell or buy the Notes (and offers of Notes for sale pursuant to the </w:t>
      </w:r>
      <w:r>
        <w:t xml:space="preserve">Tender </w:t>
      </w:r>
      <w:r>
        <w:rPr>
          <w:bCs/>
          <w:color w:val="000000" w:themeColor="text1"/>
          <w:szCs w:val="26"/>
        </w:rPr>
        <w:t xml:space="preserve">Offer </w:t>
      </w:r>
      <w:r w:rsidRPr="00090F56">
        <w:rPr>
          <w:bCs/>
          <w:color w:val="000000" w:themeColor="text1"/>
          <w:szCs w:val="26"/>
        </w:rPr>
        <w:t xml:space="preserve">will not be accepted from </w:t>
      </w:r>
      <w:r>
        <w:rPr>
          <w:bCs/>
          <w:color w:val="000000" w:themeColor="text1"/>
          <w:szCs w:val="26"/>
        </w:rPr>
        <w:t>the Noteholders</w:t>
      </w:r>
      <w:r w:rsidRPr="00090F56">
        <w:rPr>
          <w:bCs/>
          <w:color w:val="000000" w:themeColor="text1"/>
          <w:szCs w:val="26"/>
        </w:rPr>
        <w:t>) in any circumstances in which such offer or solicitation is unlawful.</w:t>
      </w:r>
    </w:p>
    <w:p w:rsidRPr="00742DEE" w:rsidR="005003BC" w:rsidP="002F6A72" w:rsidRDefault="005003BC" w14:paraId="2E79CAC6" w14:textId="5B7AF373">
      <w:pPr>
        <w:pStyle w:val="Body"/>
      </w:pPr>
      <w:r w:rsidRPr="00090F56">
        <w:rPr>
          <w:bCs/>
          <w:color w:val="000000" w:themeColor="text1"/>
          <w:szCs w:val="26"/>
        </w:rPr>
        <w:t xml:space="preserve">Each </w:t>
      </w:r>
      <w:r>
        <w:rPr>
          <w:bCs/>
          <w:color w:val="000000" w:themeColor="text1"/>
          <w:szCs w:val="26"/>
        </w:rPr>
        <w:t>Noteholder</w:t>
      </w:r>
      <w:r w:rsidRPr="00090F56">
        <w:rPr>
          <w:bCs/>
          <w:color w:val="000000" w:themeColor="text1"/>
          <w:szCs w:val="26"/>
        </w:rPr>
        <w:t xml:space="preserve"> participating in the </w:t>
      </w:r>
      <w:r>
        <w:t xml:space="preserve">Tender </w:t>
      </w:r>
      <w:r>
        <w:rPr>
          <w:bCs/>
          <w:color w:val="000000" w:themeColor="text1"/>
          <w:szCs w:val="26"/>
        </w:rPr>
        <w:t xml:space="preserve">Offer </w:t>
      </w:r>
      <w:r w:rsidRPr="00090F56">
        <w:rPr>
          <w:bCs/>
          <w:color w:val="000000" w:themeColor="text1"/>
          <w:szCs w:val="26"/>
        </w:rPr>
        <w:t xml:space="preserve">will be deemed to give certain representations in respect of the jurisdictions referred to above and generally as set out in </w:t>
      </w:r>
      <w:r>
        <w:rPr>
          <w:bCs/>
          <w:color w:val="000000" w:themeColor="text1"/>
          <w:szCs w:val="26"/>
        </w:rPr>
        <w:t>“</w:t>
      </w:r>
      <w:r w:rsidRPr="00D7048F">
        <w:rPr>
          <w:bCs/>
          <w:i/>
          <w:color w:val="000000" w:themeColor="text1"/>
          <w:szCs w:val="26"/>
        </w:rPr>
        <w:t>Procedures for Participating in the</w:t>
      </w:r>
      <w:r w:rsidRPr="008112B5">
        <w:t xml:space="preserve"> </w:t>
      </w:r>
      <w:r w:rsidRPr="008112B5">
        <w:rPr>
          <w:i/>
          <w:iCs/>
        </w:rPr>
        <w:t>Tender</w:t>
      </w:r>
      <w:r w:rsidRPr="00D7048F">
        <w:rPr>
          <w:bCs/>
          <w:i/>
          <w:color w:val="000000" w:themeColor="text1"/>
          <w:szCs w:val="26"/>
        </w:rPr>
        <w:t xml:space="preserve"> Offer</w:t>
      </w:r>
      <w:r>
        <w:rPr>
          <w:bCs/>
          <w:color w:val="000000" w:themeColor="text1"/>
          <w:szCs w:val="26"/>
        </w:rPr>
        <w:t>”</w:t>
      </w:r>
      <w:r w:rsidRPr="00090F56">
        <w:rPr>
          <w:bCs/>
          <w:color w:val="000000" w:themeColor="text1"/>
          <w:szCs w:val="26"/>
        </w:rPr>
        <w:t xml:space="preserve">. Any offer of Notes pursuant to the </w:t>
      </w:r>
      <w:r>
        <w:t xml:space="preserve">Tender </w:t>
      </w:r>
      <w:r>
        <w:rPr>
          <w:bCs/>
          <w:color w:val="000000" w:themeColor="text1"/>
          <w:szCs w:val="26"/>
        </w:rPr>
        <w:t xml:space="preserve">Offer </w:t>
      </w:r>
      <w:r w:rsidRPr="00090F56">
        <w:rPr>
          <w:bCs/>
          <w:color w:val="000000" w:themeColor="text1"/>
          <w:szCs w:val="26"/>
        </w:rPr>
        <w:t xml:space="preserve">from a </w:t>
      </w:r>
      <w:r>
        <w:rPr>
          <w:bCs/>
          <w:color w:val="000000" w:themeColor="text1"/>
          <w:szCs w:val="26"/>
        </w:rPr>
        <w:t>Noteholder</w:t>
      </w:r>
      <w:r w:rsidRPr="00090F56">
        <w:rPr>
          <w:bCs/>
          <w:color w:val="000000" w:themeColor="text1"/>
          <w:szCs w:val="26"/>
        </w:rPr>
        <w:t xml:space="preserve"> that is unable to make these representations will not be accepted. </w:t>
      </w:r>
      <w:r>
        <w:rPr>
          <w:bCs/>
          <w:color w:val="000000" w:themeColor="text1"/>
          <w:szCs w:val="26"/>
        </w:rPr>
        <w:t>Each of t</w:t>
      </w:r>
      <w:r w:rsidRPr="00090F56">
        <w:rPr>
          <w:bCs/>
          <w:color w:val="000000" w:themeColor="text1"/>
          <w:szCs w:val="26"/>
        </w:rPr>
        <w:t xml:space="preserve">he </w:t>
      </w:r>
      <w:r>
        <w:rPr>
          <w:bCs/>
          <w:color w:val="000000" w:themeColor="text1"/>
          <w:szCs w:val="26"/>
        </w:rPr>
        <w:t xml:space="preserve">Offeror </w:t>
      </w:r>
      <w:r w:rsidRPr="00090F56">
        <w:rPr>
          <w:bCs/>
          <w:color w:val="000000" w:themeColor="text1"/>
          <w:szCs w:val="26"/>
        </w:rPr>
        <w:t xml:space="preserve">and the </w:t>
      </w:r>
      <w:r w:rsidR="0027613F">
        <w:rPr>
          <w:bCs/>
          <w:color w:val="000000" w:themeColor="text1"/>
          <w:szCs w:val="26"/>
        </w:rPr>
        <w:t>Tender Agent</w:t>
      </w:r>
      <w:r w:rsidRPr="00090F56">
        <w:rPr>
          <w:bCs/>
          <w:color w:val="000000" w:themeColor="text1"/>
          <w:szCs w:val="26"/>
        </w:rPr>
        <w:t xml:space="preserve"> reserve</w:t>
      </w:r>
      <w:r>
        <w:rPr>
          <w:bCs/>
          <w:color w:val="000000" w:themeColor="text1"/>
          <w:szCs w:val="26"/>
        </w:rPr>
        <w:t>s</w:t>
      </w:r>
      <w:r w:rsidRPr="00090F56">
        <w:rPr>
          <w:bCs/>
          <w:color w:val="000000" w:themeColor="text1"/>
          <w:szCs w:val="26"/>
        </w:rPr>
        <w:t xml:space="preserve"> the right, in its absolute discretion, to investigate, in relation to the offer of Notes for sale pursuant to the </w:t>
      </w:r>
      <w:r>
        <w:t xml:space="preserve">Tender </w:t>
      </w:r>
      <w:r>
        <w:rPr>
          <w:bCs/>
          <w:color w:val="000000" w:themeColor="text1"/>
          <w:szCs w:val="26"/>
        </w:rPr>
        <w:t>Offer</w:t>
      </w:r>
      <w:r w:rsidRPr="00090F56">
        <w:rPr>
          <w:bCs/>
          <w:color w:val="000000" w:themeColor="text1"/>
          <w:szCs w:val="26"/>
        </w:rPr>
        <w:t xml:space="preserve">, whether any such representation given by a </w:t>
      </w:r>
      <w:r>
        <w:rPr>
          <w:bCs/>
          <w:color w:val="000000" w:themeColor="text1"/>
          <w:szCs w:val="26"/>
        </w:rPr>
        <w:t>Noteholder</w:t>
      </w:r>
      <w:r w:rsidRPr="00090F56">
        <w:rPr>
          <w:bCs/>
          <w:color w:val="000000" w:themeColor="text1"/>
          <w:szCs w:val="26"/>
        </w:rPr>
        <w:t xml:space="preserve"> is correct and, if such investigation is undertaken and as a result the </w:t>
      </w:r>
      <w:r>
        <w:rPr>
          <w:bCs/>
          <w:color w:val="000000" w:themeColor="text1"/>
          <w:szCs w:val="26"/>
        </w:rPr>
        <w:t xml:space="preserve">Offeror </w:t>
      </w:r>
      <w:r w:rsidRPr="00090F56">
        <w:rPr>
          <w:bCs/>
          <w:color w:val="000000" w:themeColor="text1"/>
          <w:szCs w:val="26"/>
        </w:rPr>
        <w:t xml:space="preserve">determines (for any reason) that such representation is not correct, such </w:t>
      </w:r>
      <w:r w:rsidR="009C52B1">
        <w:rPr>
          <w:bCs/>
          <w:color w:val="000000" w:themeColor="text1"/>
          <w:szCs w:val="26"/>
        </w:rPr>
        <w:t>t</w:t>
      </w:r>
      <w:r w:rsidR="005C2826">
        <w:rPr>
          <w:bCs/>
          <w:color w:val="000000" w:themeColor="text1"/>
          <w:szCs w:val="26"/>
        </w:rPr>
        <w:t xml:space="preserve">ender </w:t>
      </w:r>
      <w:r w:rsidR="009C52B1">
        <w:rPr>
          <w:bCs/>
          <w:color w:val="000000" w:themeColor="text1"/>
          <w:szCs w:val="26"/>
        </w:rPr>
        <w:t>of Notes</w:t>
      </w:r>
      <w:r w:rsidRPr="00090F56" w:rsidR="009C52B1">
        <w:rPr>
          <w:bCs/>
          <w:color w:val="000000" w:themeColor="text1"/>
          <w:szCs w:val="26"/>
        </w:rPr>
        <w:t xml:space="preserve"> </w:t>
      </w:r>
      <w:r w:rsidRPr="00090F56">
        <w:rPr>
          <w:bCs/>
          <w:color w:val="000000" w:themeColor="text1"/>
          <w:szCs w:val="26"/>
        </w:rPr>
        <w:t>shall not be accepted.</w:t>
      </w:r>
      <w:r w:rsidR="002E5AE6">
        <w:rPr>
          <w:bCs/>
          <w:color w:val="000000" w:themeColor="text1"/>
          <w:szCs w:val="26"/>
        </w:rPr>
        <w:t xml:space="preserve"> </w:t>
      </w:r>
    </w:p>
    <w:p w:rsidRPr="00337782" w:rsidR="005003BC" w:rsidP="00E85B4E" w:rsidRDefault="005003BC" w14:paraId="1164C980" w14:textId="1DCFADA7">
      <w:pPr>
        <w:pStyle w:val="Head-C"/>
      </w:pPr>
      <w:bookmarkStart w:name="_Toc122976049" w:id="14"/>
      <w:r w:rsidRPr="00337782">
        <w:lastRenderedPageBreak/>
        <w:t>GENERAL</w:t>
      </w:r>
      <w:bookmarkEnd w:id="14"/>
    </w:p>
    <w:p w:rsidRPr="00337782" w:rsidR="005003BC" w:rsidP="002F6A72" w:rsidRDefault="005003BC" w14:paraId="6292F67C" w14:textId="646E0341">
      <w:pPr>
        <w:pStyle w:val="Body"/>
      </w:pPr>
      <w:r w:rsidRPr="00337782">
        <w:t xml:space="preserve">This </w:t>
      </w:r>
      <w:r w:rsidR="005C4C34">
        <w:t>Tender Offer Memorandum</w:t>
      </w:r>
      <w:r w:rsidRPr="00337782">
        <w:t xml:space="preserve"> contains important information which should be read carefully before any decision is made with respect to the Tender Offer. Noteholders should carefully consider all the information in this </w:t>
      </w:r>
      <w:r w:rsidR="005C4C34">
        <w:t>Tender Offer Memorandum</w:t>
      </w:r>
      <w:r w:rsidRPr="00337782">
        <w:t xml:space="preserve"> and, in particular, the risk factors described in </w:t>
      </w:r>
      <w:r>
        <w:t>“</w:t>
      </w:r>
      <w:r w:rsidRPr="00337782">
        <w:rPr>
          <w:i/>
        </w:rPr>
        <w:t>Risk Factors and Other Considerations</w:t>
      </w:r>
      <w:r>
        <w:t>”</w:t>
      </w:r>
      <w:r w:rsidRPr="00337782">
        <w:t xml:space="preserve"> in this </w:t>
      </w:r>
      <w:r w:rsidR="005C4C34">
        <w:t>Tender Offer Memorandum</w:t>
      </w:r>
      <w:r w:rsidRPr="00337782">
        <w:t>.</w:t>
      </w:r>
    </w:p>
    <w:p w:rsidRPr="00337782" w:rsidR="005003BC" w:rsidP="002F6A72" w:rsidRDefault="005003BC" w14:paraId="3B06DBB9" w14:textId="0E19FDBA">
      <w:pPr>
        <w:pStyle w:val="Body"/>
      </w:pPr>
      <w:r w:rsidRPr="00337782">
        <w:t>The Offeror accept</w:t>
      </w:r>
      <w:r w:rsidR="00372275">
        <w:t>s</w:t>
      </w:r>
      <w:r w:rsidRPr="00337782">
        <w:t xml:space="preserve"> responsibility for the information contained in this </w:t>
      </w:r>
      <w:r w:rsidR="005C4C34">
        <w:t>Tender Offer Memorandum</w:t>
      </w:r>
      <w:r w:rsidRPr="00337782">
        <w:t>. To the best of the Offeror</w:t>
      </w:r>
      <w:r>
        <w:t>’</w:t>
      </w:r>
      <w:r w:rsidRPr="00337782">
        <w:t xml:space="preserve">s knowledge and belief (having taken all reasonable care to ensure that such is the case), the information contained in this </w:t>
      </w:r>
      <w:r w:rsidR="005C4C34">
        <w:t>Tender Offer Memorandum</w:t>
      </w:r>
      <w:r w:rsidRPr="00337782">
        <w:t xml:space="preserve"> is in accordance with the facts and does not omit anything likely to affect the import of such information.</w:t>
      </w:r>
    </w:p>
    <w:p w:rsidRPr="00337782" w:rsidR="005003BC" w:rsidP="002F6A72" w:rsidRDefault="005003BC" w14:paraId="11281889" w14:textId="4CC23603">
      <w:pPr>
        <w:pStyle w:val="Body"/>
      </w:pPr>
      <w:r w:rsidRPr="00337782">
        <w:t xml:space="preserve">The </w:t>
      </w:r>
      <w:r w:rsidR="0027613F">
        <w:t>Tender Agent</w:t>
      </w:r>
      <w:r w:rsidRPr="00337782">
        <w:t xml:space="preserve"> </w:t>
      </w:r>
      <w:r w:rsidR="00F27E3F">
        <w:t>has</w:t>
      </w:r>
      <w:r w:rsidRPr="00337782">
        <w:t xml:space="preserve"> not separately verified the information contained herein. Accordingly, no representation, warranty or undertaking, express or implied, is made and no liability or responsibility is accepted by the </w:t>
      </w:r>
      <w:r w:rsidR="0027613F">
        <w:t>Tender Agent</w:t>
      </w:r>
      <w:r w:rsidRPr="00337782">
        <w:t xml:space="preserve">, </w:t>
      </w:r>
      <w:r w:rsidR="0046212A">
        <w:t>its</w:t>
      </w:r>
      <w:r w:rsidRPr="00337782">
        <w:t xml:space="preserve"> affiliates or </w:t>
      </w:r>
      <w:r w:rsidR="009E0F90">
        <w:t>its</w:t>
      </w:r>
      <w:r w:rsidRPr="00337782">
        <w:t xml:space="preserve"> respective directors or employees as to the accuracy, validity, correctness or completeness of the information contained in this </w:t>
      </w:r>
      <w:r w:rsidR="005C4C34">
        <w:t>Tender Offer Memorandum</w:t>
      </w:r>
      <w:r w:rsidRPr="00337782">
        <w:t xml:space="preserve"> or any other information provided by the Offeror in connection with the Tender Offer. N</w:t>
      </w:r>
      <w:r w:rsidR="008974D1">
        <w:t>either</w:t>
      </w:r>
      <w:r w:rsidRPr="00337782">
        <w:t xml:space="preserve"> </w:t>
      </w:r>
      <w:r w:rsidRPr="00531E11" w:rsidR="00531E11">
        <w:t xml:space="preserve">the </w:t>
      </w:r>
      <w:r w:rsidR="0027613F">
        <w:t>Tender Agent</w:t>
      </w:r>
      <w:r w:rsidR="008974D1">
        <w:t xml:space="preserve"> nor</w:t>
      </w:r>
      <w:r w:rsidR="00531E11">
        <w:t xml:space="preserve"> </w:t>
      </w:r>
      <w:r w:rsidR="008974D1">
        <w:t>its</w:t>
      </w:r>
      <w:r w:rsidRPr="00337782">
        <w:t xml:space="preserve"> affiliates or </w:t>
      </w:r>
      <w:r w:rsidR="008974D1">
        <w:t xml:space="preserve">its </w:t>
      </w:r>
      <w:r w:rsidRPr="00337782">
        <w:t xml:space="preserve">respective directors or employees accepts any liability or responsibility with respect to any Noteholder in relation to the information contained in this </w:t>
      </w:r>
      <w:r w:rsidR="005C4C34">
        <w:t>Tender Offer Memorandum</w:t>
      </w:r>
      <w:r w:rsidRPr="00337782">
        <w:t xml:space="preserve"> or any other information provided by the </w:t>
      </w:r>
      <w:r w:rsidR="00677E17">
        <w:t xml:space="preserve">Offeror </w:t>
      </w:r>
      <w:r w:rsidRPr="00337782">
        <w:t>in connection with the Tender Offer.</w:t>
      </w:r>
    </w:p>
    <w:p w:rsidRPr="00337782" w:rsidR="005003BC" w:rsidP="002F6A72" w:rsidRDefault="005003BC" w14:paraId="4A41E875" w14:textId="4670104F">
      <w:pPr>
        <w:pStyle w:val="Body"/>
      </w:pPr>
      <w:r w:rsidRPr="00337782">
        <w:t xml:space="preserve">Each Noteholder is solely responsible for making its own independent appraisal of all matters as such Noteholder deems appropriate (including those relating to the Tender Offer, this </w:t>
      </w:r>
      <w:r w:rsidR="005C4C34">
        <w:t>Tender Offer Memorandum</w:t>
      </w:r>
      <w:r w:rsidR="00677E17">
        <w:t xml:space="preserve"> and </w:t>
      </w:r>
      <w:r w:rsidRPr="00337782">
        <w:t xml:space="preserve">the Offeror), and each Noteholder must make its own decision as to whether to tender any or all of its Notes for purchase pursuant to the Tender Offer. Accordingly, each person receiving this </w:t>
      </w:r>
      <w:r w:rsidR="005C4C34">
        <w:t>Tender Offer Memorandum</w:t>
      </w:r>
      <w:r w:rsidRPr="00337782">
        <w:t xml:space="preserve"> acknowledges that such person has not relied upon the Offero</w:t>
      </w:r>
      <w:r w:rsidR="00656149">
        <w:t>r</w:t>
      </w:r>
      <w:r w:rsidR="0046212A">
        <w:t xml:space="preserve"> </w:t>
      </w:r>
      <w:r w:rsidR="00AF5B90">
        <w:t>or</w:t>
      </w:r>
      <w:r w:rsidRPr="00337782">
        <w:t xml:space="preserve"> </w:t>
      </w:r>
      <w:r w:rsidRPr="00AF5B90" w:rsidR="00AF5B90">
        <w:t xml:space="preserve">the </w:t>
      </w:r>
      <w:r w:rsidR="0027613F">
        <w:t>Tender Agent</w:t>
      </w:r>
      <w:r w:rsidRPr="00AF5B90" w:rsidR="00AF5B90">
        <w:t xml:space="preserve"> </w:t>
      </w:r>
      <w:r w:rsidRPr="00337782">
        <w:t>in connection with its decision as to whether to participate in the Tender Offer. Each such person must make its own analysis and investigations regarding the Tender Offer with particular</w:t>
      </w:r>
      <w:r w:rsidR="00656149">
        <w:t xml:space="preserve"> </w:t>
      </w:r>
      <w:r w:rsidRPr="00337782">
        <w:t>reference to its own investment objectives and experience, and any other factors which may be relevant to it. If such person is in any doubt about any aspect of the Tender Offer and/or the action it should take, including in respect of any tax consequences, it should consult its professional advisers.</w:t>
      </w:r>
    </w:p>
    <w:p w:rsidRPr="00337782" w:rsidR="005003BC" w:rsidP="002F6A72" w:rsidRDefault="00734F41" w14:paraId="5D7F9C2E" w14:textId="542E82A3">
      <w:pPr>
        <w:pStyle w:val="Body"/>
      </w:pPr>
      <w:r>
        <w:t>Neither</w:t>
      </w:r>
      <w:r w:rsidRPr="00337782" w:rsidR="005003BC">
        <w:t xml:space="preserve"> the Offeror</w:t>
      </w:r>
      <w:r w:rsidR="0046212A">
        <w:t xml:space="preserve"> </w:t>
      </w:r>
      <w:r w:rsidR="00E538F1">
        <w:t>n</w:t>
      </w:r>
      <w:r w:rsidRPr="00987757" w:rsidR="00987757">
        <w:t xml:space="preserve">or the </w:t>
      </w:r>
      <w:r w:rsidR="0027613F">
        <w:t>Tender Agent</w:t>
      </w:r>
      <w:r w:rsidR="00987757">
        <w:t xml:space="preserve"> </w:t>
      </w:r>
      <w:r w:rsidRPr="00337782" w:rsidR="005003BC">
        <w:t xml:space="preserve">(or their respective directors, employees or affiliates) makes any recommendation whatsoever regarding this </w:t>
      </w:r>
      <w:r w:rsidR="005C4C34">
        <w:t>Tender Offer Memorandum</w:t>
      </w:r>
      <w:r w:rsidR="00B6535A">
        <w:t xml:space="preserve"> or</w:t>
      </w:r>
      <w:r w:rsidRPr="00337782" w:rsidR="005003BC">
        <w:t xml:space="preserve"> the Tender Offer (including as to whether or not Noteholders should tender Notes in the Tender Offer). </w:t>
      </w:r>
      <w:r w:rsidR="004F3384">
        <w:t>The</w:t>
      </w:r>
      <w:r w:rsidRPr="00337782" w:rsidR="005003BC">
        <w:t xml:space="preserve"> </w:t>
      </w:r>
      <w:r w:rsidR="0027613F">
        <w:t>Tender Agent</w:t>
      </w:r>
      <w:r w:rsidRPr="00337782" w:rsidR="005003BC">
        <w:t xml:space="preserve"> </w:t>
      </w:r>
      <w:r w:rsidR="00F27E3F">
        <w:t>is</w:t>
      </w:r>
      <w:r w:rsidRPr="00337782" w:rsidR="005003BC">
        <w:t xml:space="preserve"> the agent</w:t>
      </w:r>
      <w:r w:rsidR="00F27E3F">
        <w:t xml:space="preserve"> </w:t>
      </w:r>
      <w:r w:rsidRPr="00337782" w:rsidR="005003BC">
        <w:t>of the Offeror and owe</w:t>
      </w:r>
      <w:r w:rsidR="00A11914">
        <w:t>s</w:t>
      </w:r>
      <w:r w:rsidRPr="00337782" w:rsidR="005003BC">
        <w:t xml:space="preserve"> no duty to any Noteholder.</w:t>
      </w:r>
    </w:p>
    <w:p w:rsidRPr="00337782" w:rsidR="005003BC" w:rsidP="002F6A72" w:rsidRDefault="005003BC" w14:paraId="03977C16" w14:textId="5E637083">
      <w:pPr>
        <w:pStyle w:val="Body"/>
      </w:pPr>
      <w:r w:rsidRPr="00337782">
        <w:t xml:space="preserve">Neither the delivery of this </w:t>
      </w:r>
      <w:r w:rsidR="005C4C34">
        <w:t>Tender Offer Memorandum</w:t>
      </w:r>
      <w:r w:rsidRPr="00337782">
        <w:t xml:space="preserve">, nor any purchase of Notes will, under any circumstances, create any implication that the information contained in this </w:t>
      </w:r>
      <w:r w:rsidR="005C4C34">
        <w:t>Tender Offer Memorandum</w:t>
      </w:r>
      <w:r w:rsidRPr="00337782">
        <w:t xml:space="preserve"> is current as of any time subsequent to the date of such information or that there has been no material change in the information set out in it since the date of this </w:t>
      </w:r>
      <w:r w:rsidR="005C4C34">
        <w:t>Tender Offer Memorandum</w:t>
      </w:r>
      <w:r w:rsidRPr="00337782">
        <w:t xml:space="preserve"> or in the affairs of the Offeror since the date of this </w:t>
      </w:r>
      <w:r w:rsidR="005C4C34">
        <w:t>Tender Offer Memorandum</w:t>
      </w:r>
      <w:r w:rsidRPr="00337782">
        <w:t>.</w:t>
      </w:r>
    </w:p>
    <w:p w:rsidRPr="00337782" w:rsidR="005003BC" w:rsidP="002F6A72" w:rsidRDefault="005003BC" w14:paraId="658016A1" w14:textId="4AF51A89">
      <w:pPr>
        <w:pStyle w:val="Body"/>
      </w:pPr>
      <w:r w:rsidRPr="00337782">
        <w:t>No person has been authorised to give any information or to make any representation about the Offeror</w:t>
      </w:r>
      <w:r w:rsidR="00C55378">
        <w:rPr>
          <w:lang w:val="en-US"/>
        </w:rPr>
        <w:t xml:space="preserve"> or </w:t>
      </w:r>
      <w:r w:rsidRPr="00337782">
        <w:t xml:space="preserve">the Tender Offer other than as contained in the </w:t>
      </w:r>
      <w:r w:rsidR="005C4C34">
        <w:t>Tender Offer Memorandum</w:t>
      </w:r>
      <w:r w:rsidRPr="00337782">
        <w:t xml:space="preserve"> and, if given or made, such information or representation must not be relied upon as having been authorised by the Offeror, </w:t>
      </w:r>
      <w:r w:rsidRPr="0030613C" w:rsidR="0030613C">
        <w:t xml:space="preserve">the </w:t>
      </w:r>
      <w:r w:rsidR="0027613F">
        <w:t>Tender Agent</w:t>
      </w:r>
      <w:r w:rsidRPr="0030613C" w:rsidR="0030613C">
        <w:t xml:space="preserve"> </w:t>
      </w:r>
      <w:r w:rsidRPr="00337782">
        <w:t>or any of their respective agents.</w:t>
      </w:r>
    </w:p>
    <w:p w:rsidRPr="00337782" w:rsidR="005003BC" w:rsidP="002F6A72" w:rsidRDefault="005003BC" w14:paraId="7DF118FE" w14:textId="3807CE4A">
      <w:pPr>
        <w:pStyle w:val="Body"/>
      </w:pPr>
      <w:r w:rsidRPr="00337782">
        <w:t xml:space="preserve">Notes can only be tendered in accordance with the procedures described in </w:t>
      </w:r>
      <w:r>
        <w:t>“</w:t>
      </w:r>
      <w:r w:rsidRPr="00337782">
        <w:rPr>
          <w:i/>
        </w:rPr>
        <w:t xml:space="preserve">Procedures for Participating in the </w:t>
      </w:r>
      <w:r w:rsidRPr="00337782">
        <w:rPr>
          <w:i/>
          <w:iCs/>
        </w:rPr>
        <w:t>Tender</w:t>
      </w:r>
      <w:r w:rsidRPr="00337782">
        <w:t xml:space="preserve"> </w:t>
      </w:r>
      <w:r w:rsidRPr="00337782">
        <w:rPr>
          <w:i/>
        </w:rPr>
        <w:t>Offer</w:t>
      </w:r>
      <w:r>
        <w:t>”</w:t>
      </w:r>
      <w:r w:rsidRPr="00337782">
        <w:t>.</w:t>
      </w:r>
    </w:p>
    <w:p w:rsidRPr="00337782" w:rsidR="005003BC" w:rsidP="002F6A72" w:rsidRDefault="005003BC" w14:paraId="59F5E34E" w14:textId="0A2D3A8B">
      <w:pPr>
        <w:pStyle w:val="Body"/>
      </w:pPr>
      <w:r w:rsidRPr="00337782">
        <w:t xml:space="preserve">No </w:t>
      </w:r>
      <w:r w:rsidR="006B2FF3">
        <w:t>Notes</w:t>
      </w:r>
      <w:r w:rsidRPr="006B2FF3" w:rsidR="006B2FF3">
        <w:t xml:space="preserve"> tendered </w:t>
      </w:r>
      <w:r w:rsidR="00285FA5">
        <w:t xml:space="preserve">by </w:t>
      </w:r>
      <w:r w:rsidRPr="00337782" w:rsidR="00285FA5">
        <w:t>Sanctions Restricted Persons (as defined herein)</w:t>
      </w:r>
      <w:r w:rsidR="00285FA5">
        <w:t xml:space="preserve"> </w:t>
      </w:r>
      <w:r w:rsidRPr="00337782">
        <w:t>will be accepted.</w:t>
      </w:r>
    </w:p>
    <w:p w:rsidRPr="00337782" w:rsidR="005003BC" w:rsidP="002F6A72" w:rsidRDefault="005003BC" w14:paraId="491E0D63" w14:textId="77777777">
      <w:pPr>
        <w:pStyle w:val="Body"/>
      </w:pPr>
      <w:r w:rsidRPr="00337782">
        <w:lastRenderedPageBreak/>
        <w:t>Noteholders who do not participate in the Tender Offer, or whose Notes are not accepted for purchase</w:t>
      </w:r>
      <w:r w:rsidRPr="00535801">
        <w:t xml:space="preserve"> pursuant to the Tender Offer</w:t>
      </w:r>
      <w:r w:rsidRPr="00337782">
        <w:t>, will continue to hold their Notes subject to the terms and conditions of such Notes.</w:t>
      </w:r>
    </w:p>
    <w:p w:rsidRPr="00337782" w:rsidR="005003BC" w:rsidP="002F6A72" w:rsidRDefault="005003BC" w14:paraId="20F477F1" w14:textId="7874850D">
      <w:pPr>
        <w:pStyle w:val="Body"/>
      </w:pPr>
      <w:r w:rsidRPr="00337782">
        <w:t xml:space="preserve">The applicable provisions of the Financial Services and Markets Act 2000, as amended (the </w:t>
      </w:r>
      <w:r>
        <w:t>“</w:t>
      </w:r>
      <w:r w:rsidRPr="00337782">
        <w:rPr>
          <w:b/>
        </w:rPr>
        <w:t>FSMA</w:t>
      </w:r>
      <w:r>
        <w:t>”</w:t>
      </w:r>
      <w:r w:rsidRPr="00337782">
        <w:t>) must be complied with in respect of anything done in relation to the Tender Offer</w:t>
      </w:r>
      <w:r w:rsidR="00FB308B">
        <w:t xml:space="preserve"> in</w:t>
      </w:r>
      <w:r w:rsidRPr="00337782">
        <w:t xml:space="preserve">, from or otherwise involving the United Kingdom. This </w:t>
      </w:r>
      <w:r w:rsidR="005C4C34">
        <w:t>Tender Offer Memorandum</w:t>
      </w:r>
      <w:r w:rsidRPr="00337782">
        <w:t xml:space="preserve"> is not a prospectus for the purposes of Regulation (EU) 2017/1129 of the European Parliament and of the Council dated 14 June 2017.</w:t>
      </w:r>
    </w:p>
    <w:p w:rsidRPr="00337782" w:rsidR="005003BC" w:rsidP="002F6A72" w:rsidRDefault="005003BC" w14:paraId="5DAA1E62" w14:textId="116C6E74">
      <w:pPr>
        <w:pStyle w:val="Body"/>
      </w:pPr>
      <w:r w:rsidRPr="00337782">
        <w:t xml:space="preserve">Unless the context otherwise requires, references in this </w:t>
      </w:r>
      <w:r w:rsidR="005C4C34">
        <w:t>Tender Offer Memorandum</w:t>
      </w:r>
      <w:r w:rsidRPr="00337782">
        <w:t xml:space="preserve"> to </w:t>
      </w:r>
      <w:r>
        <w:t>“</w:t>
      </w:r>
      <w:r w:rsidRPr="00337782">
        <w:rPr>
          <w:b/>
        </w:rPr>
        <w:t>Noteholders</w:t>
      </w:r>
      <w:r>
        <w:t>”</w:t>
      </w:r>
      <w:r w:rsidR="00D95B1D">
        <w:t>,</w:t>
      </w:r>
      <w:r w:rsidRPr="00337782">
        <w:t xml:space="preserve"> </w:t>
      </w:r>
      <w:r w:rsidR="00D95B1D">
        <w:t>“</w:t>
      </w:r>
      <w:r w:rsidR="00D95B1D">
        <w:rPr>
          <w:b/>
        </w:rPr>
        <w:t>H</w:t>
      </w:r>
      <w:r w:rsidRPr="00337782" w:rsidR="00D95B1D">
        <w:rPr>
          <w:b/>
        </w:rPr>
        <w:t>olders</w:t>
      </w:r>
      <w:r w:rsidR="00D95B1D">
        <w:t>”</w:t>
      </w:r>
      <w:r w:rsidRPr="00337782" w:rsidR="00D95B1D">
        <w:t xml:space="preserve"> </w:t>
      </w:r>
      <w:r w:rsidRPr="00337782">
        <w:t xml:space="preserve">or </w:t>
      </w:r>
      <w:r>
        <w:t>“</w:t>
      </w:r>
      <w:r w:rsidRPr="00337782">
        <w:rPr>
          <w:b/>
        </w:rPr>
        <w:t>holders of Notes</w:t>
      </w:r>
      <w:r>
        <w:t>”</w:t>
      </w:r>
      <w:r w:rsidRPr="00337782">
        <w:t xml:space="preserve"> include:</w:t>
      </w:r>
    </w:p>
    <w:p w:rsidRPr="00337782" w:rsidR="005003BC" w:rsidP="00F016B7" w:rsidRDefault="005003BC" w14:paraId="625C7A87" w14:textId="28A05F56">
      <w:pPr>
        <w:pStyle w:val="Roman2-i"/>
        <w:numPr>
          <w:ilvl w:val="0"/>
          <w:numId w:val="65"/>
        </w:numPr>
      </w:pPr>
      <w:r w:rsidRPr="00337782">
        <w:t xml:space="preserve">each person who is shown in the records of the Clearing Systems (as defined herein) as a holder of the Notes (also referred to as </w:t>
      </w:r>
      <w:r>
        <w:t>“</w:t>
      </w:r>
      <w:r w:rsidRPr="00E85B4E">
        <w:rPr>
          <w:b/>
        </w:rPr>
        <w:t>Direct Participants</w:t>
      </w:r>
      <w:r>
        <w:t>”</w:t>
      </w:r>
      <w:r w:rsidRPr="00337782">
        <w:t xml:space="preserve"> and each a </w:t>
      </w:r>
      <w:r>
        <w:t>“</w:t>
      </w:r>
      <w:r w:rsidRPr="00E85B4E">
        <w:rPr>
          <w:b/>
        </w:rPr>
        <w:t>Direct Participant</w:t>
      </w:r>
      <w:r>
        <w:t>”</w:t>
      </w:r>
      <w:r w:rsidRPr="00337782">
        <w:t>); and</w:t>
      </w:r>
    </w:p>
    <w:p w:rsidRPr="00337782" w:rsidR="005003BC" w:rsidP="00E85B4E" w:rsidRDefault="005003BC" w14:paraId="10D58096" w14:textId="0E5DB423">
      <w:pPr>
        <w:pStyle w:val="Roman2-i"/>
      </w:pPr>
      <w:r w:rsidRPr="00337782">
        <w:t>each beneficial owner of the Notes holding such Notes, directly or indirectly, in an account in the name of a Direct Participant acting on such beneficial owner</w:t>
      </w:r>
      <w:r>
        <w:t>’</w:t>
      </w:r>
      <w:r w:rsidRPr="00337782">
        <w:t>s behalf,</w:t>
      </w:r>
    </w:p>
    <w:p w:rsidRPr="00337782" w:rsidR="005003BC" w:rsidP="00E85B4E" w:rsidRDefault="005003BC" w14:paraId="69B2B16A" w14:textId="67A97EED">
      <w:pPr>
        <w:pStyle w:val="Body"/>
      </w:pPr>
      <w:r w:rsidRPr="00337782">
        <w:t xml:space="preserve">except that for the purposes of any payment to a Noteholder pursuant to the Tender Offer of the relevant Purchase Price </w:t>
      </w:r>
      <w:r w:rsidR="00482B12">
        <w:t xml:space="preserve">Payment </w:t>
      </w:r>
      <w:r w:rsidRPr="00337782">
        <w:t>and the Accrued Interest Payment, to the extent the beneficial owner of the relevant Notes is not a Direct Participant, such payment will only be made by the relevant Clearing System to the relevant Direct Participant and the making of such payment by the Offeror to such Clearing System and by such Clearing System to such Direct Participant will satisfy the respective obligations of the Offeror and such Clearing System in respect of the purchase of such Notes.</w:t>
      </w:r>
    </w:p>
    <w:p w:rsidRPr="00337782" w:rsidR="005003BC" w:rsidP="002F6A72" w:rsidRDefault="005003BC" w14:paraId="074D0ED2" w14:textId="3AD30F33">
      <w:pPr>
        <w:pStyle w:val="Body"/>
      </w:pPr>
      <w:r w:rsidRPr="00337782">
        <w:t xml:space="preserve">All references in this </w:t>
      </w:r>
      <w:r w:rsidR="005C4C34">
        <w:t>Tender Offer Memorandum</w:t>
      </w:r>
      <w:r w:rsidRPr="00337782">
        <w:t xml:space="preserve"> to </w:t>
      </w:r>
      <w:r>
        <w:t>“</w:t>
      </w:r>
      <w:r w:rsidRPr="00337782">
        <w:rPr>
          <w:b/>
          <w:bCs/>
        </w:rPr>
        <w:t>U.S. Dollars</w:t>
      </w:r>
      <w:r>
        <w:t>”</w:t>
      </w:r>
      <w:r w:rsidRPr="00337782">
        <w:t xml:space="preserve"> and </w:t>
      </w:r>
      <w:r>
        <w:t>“</w:t>
      </w:r>
      <w:r w:rsidRPr="00337782">
        <w:rPr>
          <w:b/>
        </w:rPr>
        <w:t>U.S.$</w:t>
      </w:r>
      <w:r>
        <w:t>”</w:t>
      </w:r>
      <w:r w:rsidRPr="00337782">
        <w:t xml:space="preserve"> refer to the lawful currency of the United States of America.</w:t>
      </w:r>
    </w:p>
    <w:p w:rsidRPr="00337782" w:rsidR="005003BC" w:rsidP="002F6A72" w:rsidRDefault="005003BC" w14:paraId="323E4390" w14:textId="0431B7DB">
      <w:pPr>
        <w:pStyle w:val="Body"/>
      </w:pPr>
      <w:r w:rsidRPr="00337782">
        <w:t xml:space="preserve">See </w:t>
      </w:r>
      <w:r>
        <w:t>“</w:t>
      </w:r>
      <w:r w:rsidRPr="00337782">
        <w:rPr>
          <w:i/>
        </w:rPr>
        <w:t>Risk Factors and Other Considerations</w:t>
      </w:r>
      <w:r>
        <w:t>”</w:t>
      </w:r>
      <w:r w:rsidRPr="00337782">
        <w:t xml:space="preserve"> for a discussion of certain factors that should be considered in evaluating the Tender Offer.</w:t>
      </w:r>
    </w:p>
    <w:p w:rsidRPr="00337782" w:rsidR="005003BC" w:rsidP="002F6A72" w:rsidRDefault="005003BC" w14:paraId="19B2CAC6" w14:textId="2CF0ED01">
      <w:pPr>
        <w:pStyle w:val="Body"/>
      </w:pPr>
      <w:r w:rsidRPr="00337782">
        <w:t xml:space="preserve">Capitalised terms used in this </w:t>
      </w:r>
      <w:r w:rsidR="005C4C34">
        <w:t>Tender Offer Memorandum</w:t>
      </w:r>
      <w:r w:rsidRPr="00337782">
        <w:t xml:space="preserve"> but not included in the </w:t>
      </w:r>
      <w:r>
        <w:t>“</w:t>
      </w:r>
      <w:r w:rsidRPr="00337782">
        <w:rPr>
          <w:i/>
          <w:iCs/>
        </w:rPr>
        <w:t>Definitions</w:t>
      </w:r>
      <w:r>
        <w:t>”</w:t>
      </w:r>
      <w:r w:rsidRPr="00337782">
        <w:t xml:space="preserve"> section of this memorandum have the meaning given in Sections 1.01 </w:t>
      </w:r>
      <w:r>
        <w:t>“</w:t>
      </w:r>
      <w:r w:rsidRPr="00337782">
        <w:rPr>
          <w:i/>
        </w:rPr>
        <w:t>Definitions</w:t>
      </w:r>
      <w:r>
        <w:t>”</w:t>
      </w:r>
      <w:r w:rsidRPr="00337782">
        <w:t xml:space="preserve"> or 1.02 </w:t>
      </w:r>
      <w:r>
        <w:t>“</w:t>
      </w:r>
      <w:r w:rsidRPr="00337782">
        <w:rPr>
          <w:i/>
          <w:iCs/>
        </w:rPr>
        <w:t>Other Definitions</w:t>
      </w:r>
      <w:r>
        <w:t>”</w:t>
      </w:r>
      <w:r w:rsidRPr="00337782">
        <w:t xml:space="preserve"> of the Indenture, and any other definitions of such terms are for ease of reference only and do not affect their interpretation.</w:t>
      </w:r>
    </w:p>
    <w:p w:rsidRPr="00337782" w:rsidR="005003BC" w:rsidP="002F6A72" w:rsidRDefault="005003BC" w14:paraId="7B19D123" w14:textId="2C535BFA">
      <w:pPr>
        <w:pStyle w:val="Body"/>
      </w:pPr>
      <w:r w:rsidRPr="00337782">
        <w:t>Questions and requests for assistance in connection with (</w:t>
      </w:r>
      <w:proofErr w:type="spellStart"/>
      <w:r w:rsidRPr="00337782">
        <w:t>i</w:t>
      </w:r>
      <w:proofErr w:type="spellEnd"/>
      <w:r w:rsidRPr="00337782">
        <w:t>) the Tender Offer</w:t>
      </w:r>
      <w:r w:rsidR="00303845">
        <w:t xml:space="preserve"> or</w:t>
      </w:r>
      <w:r w:rsidRPr="00337782">
        <w:t xml:space="preserve"> </w:t>
      </w:r>
      <w:r w:rsidR="00151AE3">
        <w:t xml:space="preserve">(ii) </w:t>
      </w:r>
      <w:r w:rsidRPr="00151AE3" w:rsidR="00151AE3">
        <w:t xml:space="preserve">the delivery of </w:t>
      </w:r>
      <w:r w:rsidR="00151AE3">
        <w:t>Tender Instructions</w:t>
      </w:r>
      <w:r w:rsidRPr="00151AE3" w:rsidR="00151AE3">
        <w:t xml:space="preserve"> </w:t>
      </w:r>
      <w:r w:rsidRPr="00337782">
        <w:t xml:space="preserve">may be directed to the </w:t>
      </w:r>
      <w:r w:rsidR="0027613F">
        <w:t>Tender Agent</w:t>
      </w:r>
      <w:r w:rsidRPr="00337782">
        <w:t xml:space="preserve">, the contact details for which are on the last page of this </w:t>
      </w:r>
      <w:r w:rsidR="005C4C34">
        <w:t>Tender Offer Memorandum</w:t>
      </w:r>
      <w:r w:rsidRPr="00337782">
        <w:t>.</w:t>
      </w:r>
    </w:p>
    <w:p w:rsidRPr="00337782" w:rsidR="005003BC" w:rsidP="002F6A72" w:rsidRDefault="005003BC" w14:paraId="2879294C" w14:textId="17567C30">
      <w:pPr>
        <w:pStyle w:val="Body"/>
      </w:pPr>
      <w:r w:rsidRPr="00337782">
        <w:t>Th</w:t>
      </w:r>
      <w:r w:rsidR="00F537B9">
        <w:t>is</w:t>
      </w:r>
      <w:r w:rsidRPr="00337782">
        <w:t xml:space="preserve"> </w:t>
      </w:r>
      <w:r w:rsidR="005C4C34">
        <w:t>Tender Offer Memorandum</w:t>
      </w:r>
      <w:r w:rsidRPr="00337782">
        <w:t xml:space="preserve"> contains important information which should be read carefully before any decision is made with respect to the Tender Offer</w:t>
      </w:r>
      <w:r w:rsidR="007151F3">
        <w:t>.</w:t>
      </w:r>
      <w:r w:rsidRPr="00337782">
        <w:t xml:space="preserve"> If any Noteholder is in any doubt as to the contents of the </w:t>
      </w:r>
      <w:r w:rsidR="005C4C34">
        <w:t>Tender Offer Memorandum</w:t>
      </w:r>
      <w:r w:rsidRPr="00337782">
        <w:t xml:space="preserve"> or the action it should take, it is recommended to seek its own financial advice, including in respect of any tax consequences, immediately from its stockbroker, bank manager, solicitor, accountant or other independent financial, tax or legal adviser. Any individual or company whose Notes are held on its behalf by a broker, dealer, bank, custodian, trust company or other nominee must contact such entity if it wishes to tender such Notes pursuant to the Tender Offer. The distribution of the </w:t>
      </w:r>
      <w:r w:rsidR="005C4C34">
        <w:t>Tender Offer Memorandum</w:t>
      </w:r>
      <w:r w:rsidRPr="00337782">
        <w:t xml:space="preserve"> in certain jurisdictions may be restricted by law (see </w:t>
      </w:r>
      <w:r>
        <w:t>“</w:t>
      </w:r>
      <w:r w:rsidRPr="00337782">
        <w:rPr>
          <w:i/>
        </w:rPr>
        <w:t>Offer and Distribution Restrictions</w:t>
      </w:r>
      <w:r>
        <w:t>”</w:t>
      </w:r>
      <w:r w:rsidRPr="00337782">
        <w:t xml:space="preserve">). </w:t>
      </w:r>
      <w:r w:rsidR="00CE7B07">
        <w:t>Neither</w:t>
      </w:r>
      <w:r w:rsidRPr="00337782">
        <w:t xml:space="preserve"> the </w:t>
      </w:r>
      <w:r w:rsidR="0027613F">
        <w:t>Tender Agent</w:t>
      </w:r>
      <w:r w:rsidR="000D34B6">
        <w:t xml:space="preserve"> </w:t>
      </w:r>
      <w:r w:rsidR="00CE7B07">
        <w:t>n</w:t>
      </w:r>
      <w:r w:rsidR="000D34B6">
        <w:t>or</w:t>
      </w:r>
      <w:r w:rsidRPr="00337782">
        <w:t xml:space="preserve"> the Offeror makes any recommendation as to whether holders of Notes should tender Notes pursuant to the Tender Offer.</w:t>
      </w:r>
    </w:p>
    <w:p w:rsidRPr="00742DEE" w:rsidR="005003BC" w:rsidP="002F6A72" w:rsidRDefault="00E85B4E" w14:paraId="4B320C92" w14:textId="560AB3B7">
      <w:pPr>
        <w:pStyle w:val="Head-C"/>
      </w:pPr>
      <w:bookmarkStart w:name="_Toc122976050" w:id="15"/>
      <w:r w:rsidRPr="00742DEE">
        <w:lastRenderedPageBreak/>
        <w:t>EXPECTED TIMETABLE OF KEY EVENTS</w:t>
      </w:r>
      <w:bookmarkEnd w:id="15"/>
    </w:p>
    <w:p w:rsidR="005003BC" w:rsidP="00E85B4E" w:rsidRDefault="005003BC" w14:paraId="5A190D36" w14:textId="0025ACAC">
      <w:pPr>
        <w:pStyle w:val="Body"/>
      </w:pPr>
      <w:r w:rsidRPr="00742DEE">
        <w:t xml:space="preserve">The following table sets forth the expected dates and times of the key events relating to the </w:t>
      </w:r>
      <w:r>
        <w:t>Tender Offer</w:t>
      </w:r>
      <w:r w:rsidRPr="00742DEE">
        <w:t xml:space="preserve">. The times and dates below are indicative only. </w:t>
      </w:r>
      <w:r w:rsidRPr="00DC5DD6">
        <w:t xml:space="preserve">The </w:t>
      </w:r>
      <w:r>
        <w:t>below</w:t>
      </w:r>
      <w:r w:rsidRPr="00DC5DD6">
        <w:t xml:space="preserve"> times and dates are subject to the right of the </w:t>
      </w:r>
      <w:r>
        <w:t>Offeror</w:t>
      </w:r>
      <w:r w:rsidRPr="00DC5DD6">
        <w:t xml:space="preserve"> </w:t>
      </w:r>
      <w:r w:rsidRPr="006729D9" w:rsidR="006729D9">
        <w:t xml:space="preserve">to </w:t>
      </w:r>
      <w:r w:rsidRPr="006E7658" w:rsidR="006E7658">
        <w:t xml:space="preserve">extend, amend and/or terminate </w:t>
      </w:r>
      <w:r w:rsidRPr="006729D9" w:rsidR="006729D9">
        <w:t xml:space="preserve">the Tender Offer </w:t>
      </w:r>
      <w:r w:rsidRPr="00DC5DD6">
        <w:t xml:space="preserve">(subject to applicable law and as provided in this </w:t>
      </w:r>
      <w:r w:rsidR="005C4C34">
        <w:rPr>
          <w:color w:val="000000" w:themeColor="text1"/>
          <w:szCs w:val="26"/>
        </w:rPr>
        <w:t>Tender Offer Memorandum</w:t>
      </w:r>
      <w:r w:rsidRPr="00DC5DD6">
        <w:t>).</w:t>
      </w:r>
      <w:r>
        <w:t xml:space="preserve"> Accordingly, the actual timetable may differ significantly from the timetable below. </w:t>
      </w:r>
      <w:r w:rsidRPr="00B8171D" w:rsidR="00B8171D">
        <w:t xml:space="preserve">Noteholders are urged to check with any bank, securities broker or other intermediary through which they hold Notes when such intermediary would need to receive instructions from a Noteholder in order for that Noteholder to be able to participate in the Tender Offer. </w:t>
      </w:r>
      <w:r w:rsidRPr="00DC5DD6">
        <w:rPr>
          <w:b/>
        </w:rPr>
        <w:t xml:space="preserve">The deadlines set by any </w:t>
      </w:r>
      <w:r w:rsidR="004242D9">
        <w:rPr>
          <w:b/>
        </w:rPr>
        <w:t>such</w:t>
      </w:r>
      <w:r w:rsidRPr="00DC5DD6">
        <w:rPr>
          <w:b/>
        </w:rPr>
        <w:t xml:space="preserve"> intermediary and each Clearing System will be earlier than the relevant deadlines specified </w:t>
      </w:r>
      <w:r>
        <w:rPr>
          <w:b/>
        </w:rPr>
        <w:t>below</w:t>
      </w:r>
      <w:r w:rsidRPr="00DC5DD6">
        <w:rPr>
          <w:b/>
        </w:rPr>
        <w:t xml:space="preserve">. See </w:t>
      </w:r>
      <w:r>
        <w:rPr>
          <w:b/>
        </w:rPr>
        <w:t>“</w:t>
      </w:r>
      <w:r w:rsidRPr="00DC5DD6">
        <w:rPr>
          <w:b/>
          <w:i/>
        </w:rPr>
        <w:t xml:space="preserve">Procedures for Participating in the </w:t>
      </w:r>
      <w:r w:rsidRPr="008112B5">
        <w:rPr>
          <w:b/>
          <w:bCs/>
          <w:i/>
          <w:iCs/>
        </w:rPr>
        <w:t>Tender</w:t>
      </w:r>
      <w:r>
        <w:t xml:space="preserve"> </w:t>
      </w:r>
      <w:r w:rsidRPr="00DC5DD6">
        <w:rPr>
          <w:b/>
          <w:i/>
        </w:rPr>
        <w:t>Offer</w:t>
      </w:r>
      <w:r>
        <w:rPr>
          <w:b/>
        </w:rPr>
        <w:t>”</w:t>
      </w:r>
      <w:r w:rsidRPr="00DC5DD6">
        <w:t>.</w:t>
      </w:r>
    </w:p>
    <w:tbl>
      <w:tblPr>
        <w:tblStyle w:val="TableGrid"/>
        <w:tblW w:w="9055" w:type="dxa"/>
        <w:tblInd w:w="4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1E0" w:firstRow="1" w:lastRow="1" w:firstColumn="1" w:lastColumn="1" w:noHBand="0" w:noVBand="0"/>
      </w:tblPr>
      <w:tblGrid>
        <w:gridCol w:w="5392"/>
        <w:gridCol w:w="425"/>
        <w:gridCol w:w="3238"/>
      </w:tblGrid>
      <w:tr w:rsidR="00E85B4E" w:rsidTr="00E400A6" w14:paraId="4EA07925" w14:textId="77777777">
        <w:tc>
          <w:tcPr>
            <w:tcW w:w="5392" w:type="dxa"/>
            <w:tcBorders>
              <w:bottom w:val="single" w:color="auto" w:sz="4" w:space="0"/>
            </w:tcBorders>
            <w:shd w:val="clear" w:color="auto" w:fill="auto"/>
            <w:vAlign w:val="bottom"/>
          </w:tcPr>
          <w:p w:rsidR="00E85B4E" w:rsidP="006C3364" w:rsidRDefault="00E85B4E" w14:paraId="3CED7A5B" w14:textId="1219767A">
            <w:pPr>
              <w:pStyle w:val="CellHead"/>
            </w:pPr>
            <w:r>
              <w:t>Events</w:t>
            </w:r>
          </w:p>
        </w:tc>
        <w:tc>
          <w:tcPr>
            <w:tcW w:w="425" w:type="dxa"/>
            <w:tcBorders>
              <w:left w:val="nil"/>
            </w:tcBorders>
            <w:shd w:val="clear" w:color="auto" w:fill="auto"/>
            <w:vAlign w:val="bottom"/>
          </w:tcPr>
          <w:p w:rsidR="00E85B4E" w:rsidP="006C3364" w:rsidRDefault="00E85B4E" w14:paraId="7D7BCFB6" w14:textId="77777777">
            <w:pPr>
              <w:pStyle w:val="CellHead"/>
            </w:pPr>
          </w:p>
        </w:tc>
        <w:tc>
          <w:tcPr>
            <w:tcW w:w="3238" w:type="dxa"/>
            <w:tcBorders>
              <w:bottom w:val="single" w:color="auto" w:sz="4" w:space="0"/>
            </w:tcBorders>
            <w:shd w:val="clear" w:color="auto" w:fill="auto"/>
            <w:vAlign w:val="bottom"/>
          </w:tcPr>
          <w:p w:rsidR="00E85B4E" w:rsidP="006C3364" w:rsidRDefault="00E85B4E" w14:paraId="11DC61CC" w14:textId="4DEA48BF">
            <w:pPr>
              <w:pStyle w:val="CellHead"/>
            </w:pPr>
            <w:r>
              <w:t>Times and Dates</w:t>
            </w:r>
          </w:p>
        </w:tc>
      </w:tr>
      <w:tr w:rsidR="00E85B4E" w:rsidTr="00E400A6" w14:paraId="582227AA" w14:textId="77777777">
        <w:tc>
          <w:tcPr>
            <w:tcW w:w="5392" w:type="dxa"/>
            <w:shd w:val="clear" w:color="auto" w:fill="auto"/>
          </w:tcPr>
          <w:p w:rsidRPr="00106283" w:rsidR="00E85B4E" w:rsidP="006C3364" w:rsidRDefault="0074028B" w14:paraId="2D050F2B" w14:textId="77777777">
            <w:pPr>
              <w:pStyle w:val="CellBody"/>
              <w:rPr>
                <w:b/>
                <w:i/>
              </w:rPr>
            </w:pPr>
            <w:r w:rsidRPr="00106283">
              <w:rPr>
                <w:b/>
                <w:i/>
              </w:rPr>
              <w:t>Commencement Date</w:t>
            </w:r>
          </w:p>
          <w:p w:rsidRPr="00106283" w:rsidR="0074028B" w:rsidP="006C3364" w:rsidRDefault="0074028B" w14:paraId="198B5C0F" w14:textId="656625D7">
            <w:pPr>
              <w:pStyle w:val="CellBody"/>
            </w:pPr>
            <w:r w:rsidRPr="00106283">
              <w:t xml:space="preserve">Announcement of the Tender Offer. </w:t>
            </w:r>
            <w:r w:rsidRPr="00106283" w:rsidR="005C4C34">
              <w:rPr>
                <w:color w:val="000000" w:themeColor="text1"/>
                <w:szCs w:val="26"/>
              </w:rPr>
              <w:t>Tender Offer Memorandum</w:t>
            </w:r>
            <w:r w:rsidRPr="00106283">
              <w:t xml:space="preserve"> available from the </w:t>
            </w:r>
            <w:r w:rsidRPr="00106283" w:rsidR="0027613F">
              <w:t>Tender Agent</w:t>
            </w:r>
            <w:r w:rsidRPr="00106283" w:rsidR="000951AE">
              <w:t xml:space="preserve">. </w:t>
            </w:r>
          </w:p>
          <w:p w:rsidRPr="00106283" w:rsidR="001E7354" w:rsidP="006C3364" w:rsidRDefault="001E7354" w14:paraId="7CED5D87" w14:textId="0835F883">
            <w:pPr>
              <w:pStyle w:val="CellBody"/>
            </w:pPr>
          </w:p>
        </w:tc>
        <w:tc>
          <w:tcPr>
            <w:tcW w:w="425" w:type="dxa"/>
            <w:tcBorders>
              <w:left w:val="nil"/>
            </w:tcBorders>
            <w:shd w:val="clear" w:color="auto" w:fill="auto"/>
          </w:tcPr>
          <w:p w:rsidRPr="00106283" w:rsidR="00E85B4E" w:rsidP="006C3364" w:rsidRDefault="00E85B4E" w14:paraId="392A0405" w14:textId="77777777">
            <w:pPr>
              <w:pStyle w:val="CellBody"/>
            </w:pPr>
          </w:p>
        </w:tc>
        <w:tc>
          <w:tcPr>
            <w:tcW w:w="3238" w:type="dxa"/>
            <w:shd w:val="clear" w:color="auto" w:fill="auto"/>
          </w:tcPr>
          <w:p w:rsidRPr="00106283" w:rsidR="00E85B4E" w:rsidP="006C3364" w:rsidRDefault="004A3139" w14:paraId="1BE916F3" w14:textId="4C8F0800">
            <w:pPr>
              <w:pStyle w:val="CellBody"/>
              <w:rPr>
                <w:lang w:val="ru-RU"/>
              </w:rPr>
            </w:pPr>
            <w:r>
              <w:t>6 March</w:t>
            </w:r>
            <w:r w:rsidRPr="00106283" w:rsidR="00362379">
              <w:rPr>
                <w:lang w:val="ru-RU"/>
              </w:rPr>
              <w:t xml:space="preserve"> </w:t>
            </w:r>
            <w:r w:rsidRPr="00106283" w:rsidR="0074028B">
              <w:t>202</w:t>
            </w:r>
            <w:r w:rsidRPr="00106283" w:rsidR="00362379">
              <w:rPr>
                <w:lang w:val="ru-RU"/>
              </w:rPr>
              <w:t>3</w:t>
            </w:r>
          </w:p>
        </w:tc>
      </w:tr>
      <w:tr w:rsidR="0074028B" w:rsidTr="00E400A6" w14:paraId="6CE3367C" w14:textId="77777777">
        <w:tc>
          <w:tcPr>
            <w:tcW w:w="5392" w:type="dxa"/>
            <w:shd w:val="clear" w:color="auto" w:fill="auto"/>
          </w:tcPr>
          <w:p w:rsidRPr="00106283" w:rsidR="0074028B" w:rsidP="00F37F3A" w:rsidRDefault="0074028B" w14:paraId="685420BD" w14:textId="77777777">
            <w:pPr>
              <w:pStyle w:val="CellBody"/>
              <w:rPr>
                <w:b/>
                <w:i/>
              </w:rPr>
            </w:pPr>
            <w:r w:rsidRPr="00106283">
              <w:rPr>
                <w:b/>
                <w:i/>
              </w:rPr>
              <w:t>Expiration Deadline</w:t>
            </w:r>
          </w:p>
          <w:p w:rsidRPr="00106283" w:rsidR="0074028B" w:rsidP="00F37F3A" w:rsidRDefault="0074028B" w14:paraId="7E78EB11" w14:textId="50D2ABE4">
            <w:pPr>
              <w:pStyle w:val="CellBody"/>
            </w:pPr>
            <w:r w:rsidRPr="00106283">
              <w:t xml:space="preserve">Deadline for receipt of valid </w:t>
            </w:r>
            <w:r w:rsidRPr="00106283" w:rsidR="003B547E">
              <w:t>Tender Instructions</w:t>
            </w:r>
            <w:r w:rsidRPr="00106283">
              <w:t xml:space="preserve"> by the </w:t>
            </w:r>
            <w:r w:rsidRPr="00106283" w:rsidR="0027613F">
              <w:t>Tender Agent</w:t>
            </w:r>
            <w:r w:rsidRPr="00106283">
              <w:t xml:space="preserve"> for Noteholders to participate in the Tender Offer.</w:t>
            </w:r>
          </w:p>
          <w:p w:rsidRPr="00106283" w:rsidR="00625F79" w:rsidP="00362379" w:rsidRDefault="00625F79" w14:paraId="1F7232C5" w14:textId="77E2B593">
            <w:pPr>
              <w:pStyle w:val="CellBody"/>
            </w:pPr>
          </w:p>
        </w:tc>
        <w:tc>
          <w:tcPr>
            <w:tcW w:w="425" w:type="dxa"/>
            <w:tcBorders>
              <w:left w:val="nil"/>
            </w:tcBorders>
            <w:shd w:val="clear" w:color="auto" w:fill="auto"/>
          </w:tcPr>
          <w:p w:rsidRPr="00106283" w:rsidR="0074028B" w:rsidP="0074028B" w:rsidRDefault="0074028B" w14:paraId="7B127B17" w14:textId="77777777">
            <w:pPr>
              <w:pStyle w:val="CellBody"/>
            </w:pPr>
          </w:p>
        </w:tc>
        <w:tc>
          <w:tcPr>
            <w:tcW w:w="3238" w:type="dxa"/>
            <w:shd w:val="clear" w:color="auto" w:fill="auto"/>
          </w:tcPr>
          <w:p w:rsidRPr="00106283" w:rsidR="0074028B" w:rsidP="0074028B" w:rsidRDefault="0074028B" w14:paraId="0F092528" w14:textId="029C99CB">
            <w:pPr>
              <w:pStyle w:val="CellBody"/>
              <w:rPr>
                <w:lang w:val="en-US"/>
              </w:rPr>
            </w:pPr>
            <w:r w:rsidRPr="00106283">
              <w:t xml:space="preserve">5:00 p.m. (London time) on </w:t>
            </w:r>
            <w:r w:rsidR="004A3139">
              <w:t>20 March</w:t>
            </w:r>
            <w:r w:rsidRPr="00106283" w:rsidR="00122B55">
              <w:t xml:space="preserve"> </w:t>
            </w:r>
            <w:r w:rsidRPr="00106283">
              <w:t>202</w:t>
            </w:r>
            <w:r w:rsidRPr="00106283" w:rsidR="00362379">
              <w:rPr>
                <w:lang w:val="en-US"/>
              </w:rPr>
              <w:t>3</w:t>
            </w:r>
          </w:p>
        </w:tc>
      </w:tr>
      <w:tr w:rsidR="0074028B" w:rsidTr="00E400A6" w14:paraId="16461073" w14:textId="77777777">
        <w:tc>
          <w:tcPr>
            <w:tcW w:w="5392" w:type="dxa"/>
            <w:shd w:val="clear" w:color="auto" w:fill="auto"/>
          </w:tcPr>
          <w:p w:rsidRPr="00106283" w:rsidR="0074028B" w:rsidP="00F37F3A" w:rsidRDefault="0074028B" w14:paraId="18F1C10E" w14:textId="764B18D2">
            <w:pPr>
              <w:pStyle w:val="CellBody"/>
              <w:rPr>
                <w:b/>
                <w:i/>
              </w:rPr>
            </w:pPr>
            <w:r w:rsidRPr="00106283">
              <w:rPr>
                <w:b/>
                <w:i/>
              </w:rPr>
              <w:t>Announcement of Tender Offer</w:t>
            </w:r>
            <w:r w:rsidRPr="00106283" w:rsidR="00B441EB">
              <w:t xml:space="preserve"> </w:t>
            </w:r>
            <w:r w:rsidRPr="00106283">
              <w:rPr>
                <w:b/>
                <w:i/>
              </w:rPr>
              <w:t>Results</w:t>
            </w:r>
          </w:p>
          <w:p w:rsidRPr="00106283" w:rsidR="00B441EB" w:rsidP="0074028B" w:rsidRDefault="0074028B" w14:paraId="0038F3C8" w14:textId="68B1C6D3">
            <w:pPr>
              <w:spacing w:after="240"/>
            </w:pPr>
            <w:r w:rsidRPr="00106283">
              <w:t>Announcement of (</w:t>
            </w:r>
            <w:proofErr w:type="spellStart"/>
            <w:r w:rsidRPr="00106283">
              <w:t>i</w:t>
            </w:r>
            <w:proofErr w:type="spellEnd"/>
            <w:r w:rsidRPr="00106283">
              <w:t>) the aggregate principal amount of the Notes which will be accepted for purchase pursuant to the Tender Offer, (ii) the sum of all Purchase Price Payments</w:t>
            </w:r>
            <w:r w:rsidRPr="00106283" w:rsidR="00DF101D">
              <w:t>,</w:t>
            </w:r>
            <w:r w:rsidRPr="00106283">
              <w:t xml:space="preserve"> (iii) the Scaling Factor, if applicable, for Pro-Rated Holders and (</w:t>
            </w:r>
            <w:r w:rsidR="008E3F6D">
              <w:t>i</w:t>
            </w:r>
            <w:r w:rsidRPr="00106283">
              <w:t xml:space="preserve">v) the </w:t>
            </w:r>
            <w:r w:rsidRPr="00106283" w:rsidR="00C928F1">
              <w:t xml:space="preserve">expected </w:t>
            </w:r>
            <w:r w:rsidRPr="00106283">
              <w:t>Settlement Date.</w:t>
            </w:r>
          </w:p>
        </w:tc>
        <w:tc>
          <w:tcPr>
            <w:tcW w:w="425" w:type="dxa"/>
            <w:tcBorders>
              <w:left w:val="nil"/>
            </w:tcBorders>
            <w:shd w:val="clear" w:color="auto" w:fill="auto"/>
          </w:tcPr>
          <w:p w:rsidRPr="00106283" w:rsidR="0074028B" w:rsidP="0074028B" w:rsidRDefault="0074028B" w14:paraId="23ECFE73" w14:textId="77777777">
            <w:pPr>
              <w:pStyle w:val="CellBody"/>
            </w:pPr>
          </w:p>
        </w:tc>
        <w:tc>
          <w:tcPr>
            <w:tcW w:w="3238" w:type="dxa"/>
            <w:shd w:val="clear" w:color="auto" w:fill="auto"/>
          </w:tcPr>
          <w:p w:rsidRPr="00106283" w:rsidR="0074028B" w:rsidP="0074028B" w:rsidRDefault="0074028B" w14:paraId="55EA3D7F" w14:textId="2FFDEEFF">
            <w:pPr>
              <w:pStyle w:val="CellBody"/>
              <w:rPr>
                <w:lang w:val="ru-RU"/>
              </w:rPr>
            </w:pPr>
            <w:r w:rsidRPr="00106283">
              <w:t xml:space="preserve">On or about </w:t>
            </w:r>
            <w:r w:rsidR="004A3139">
              <w:t>21 March</w:t>
            </w:r>
            <w:r w:rsidRPr="00106283" w:rsidR="00C84605">
              <w:rPr>
                <w:lang w:val="ru-RU"/>
              </w:rPr>
              <w:t xml:space="preserve"> </w:t>
            </w:r>
            <w:r w:rsidRPr="00106283">
              <w:t>202</w:t>
            </w:r>
            <w:r w:rsidRPr="00106283" w:rsidR="00C84605">
              <w:rPr>
                <w:lang w:val="ru-RU"/>
              </w:rPr>
              <w:t>3</w:t>
            </w:r>
          </w:p>
        </w:tc>
      </w:tr>
      <w:tr w:rsidR="0074028B" w:rsidTr="00E400A6" w14:paraId="4409F70D" w14:textId="77777777">
        <w:tc>
          <w:tcPr>
            <w:tcW w:w="5392" w:type="dxa"/>
            <w:shd w:val="clear" w:color="auto" w:fill="auto"/>
          </w:tcPr>
          <w:p w:rsidRPr="00106283" w:rsidR="0074028B" w:rsidP="00F37F3A" w:rsidRDefault="0074028B" w14:paraId="4D577FD8" w14:textId="77777777">
            <w:pPr>
              <w:pStyle w:val="CellBody"/>
              <w:rPr>
                <w:b/>
                <w:i/>
              </w:rPr>
            </w:pPr>
            <w:r w:rsidRPr="00106283">
              <w:rPr>
                <w:b/>
                <w:i/>
              </w:rPr>
              <w:t>Settlement Date</w:t>
            </w:r>
          </w:p>
          <w:p w:rsidR="0074028B" w:rsidP="0074028B" w:rsidRDefault="0074028B" w14:paraId="4A425126" w14:textId="77777777">
            <w:pPr>
              <w:spacing w:after="240"/>
            </w:pPr>
            <w:r w:rsidRPr="00106283">
              <w:t>The date on which the Offeror deposits, no later than 12:00 p.m. (London time), with the Paying Agent the aggregate amount of the Purchase Price</w:t>
            </w:r>
            <w:r w:rsidRPr="00106283" w:rsidR="00B4463C">
              <w:t xml:space="preserve"> Payments</w:t>
            </w:r>
            <w:r w:rsidRPr="00106283">
              <w:t xml:space="preserve"> for Notes validly tendered at or prior to the Expiration Deadline and accepted for purchase by the </w:t>
            </w:r>
            <w:r w:rsidRPr="00106283" w:rsidR="006C7AEF">
              <w:t>Offeror</w:t>
            </w:r>
            <w:r w:rsidRPr="00106283">
              <w:t>, together with the Accrued Interest Payments.</w:t>
            </w:r>
          </w:p>
          <w:p w:rsidRPr="00831E73" w:rsidR="00DA382F" w:rsidP="00DA382F" w:rsidRDefault="008A0C47" w14:paraId="548A7025" w14:textId="34F4DAFD">
            <w:pPr>
              <w:pStyle w:val="Body"/>
              <w:ind w:left="0"/>
            </w:pPr>
            <w:r w:rsidRPr="008A0C47">
              <w:t xml:space="preserve">The expected Settlement Date is after the Interest Payment Date falling on 31 </w:t>
            </w:r>
            <w:r>
              <w:t>March</w:t>
            </w:r>
            <w:r w:rsidRPr="008A0C47">
              <w:t xml:space="preserve"> 2023. Accordingly, all Noteholders will receive the interest due and payable on 31 March 2023, and Noteholders who participate in the Tender Offer will additionally </w:t>
            </w:r>
            <w:r w:rsidR="008239B5">
              <w:t xml:space="preserve">receive </w:t>
            </w:r>
            <w:r w:rsidRPr="008A0C47">
              <w:t>interest in respect of the principal amount of the Notes tendered by them which accrues from (and including) 31 March 2023 to (but excluding) the Settlement Date</w:t>
            </w:r>
            <w:r w:rsidRPr="00B52D8F" w:rsidR="00DA382F">
              <w:t>.</w:t>
            </w:r>
          </w:p>
          <w:p w:rsidRPr="00106283" w:rsidR="00DA382F" w:rsidP="0074028B" w:rsidRDefault="00DA382F" w14:paraId="358A1243" w14:textId="19E6E740">
            <w:pPr>
              <w:spacing w:after="240"/>
              <w:rPr>
                <w:b/>
                <w:i/>
              </w:rPr>
            </w:pPr>
          </w:p>
        </w:tc>
        <w:tc>
          <w:tcPr>
            <w:tcW w:w="425" w:type="dxa"/>
            <w:tcBorders>
              <w:left w:val="nil"/>
            </w:tcBorders>
            <w:shd w:val="clear" w:color="auto" w:fill="auto"/>
          </w:tcPr>
          <w:p w:rsidRPr="00106283" w:rsidR="0074028B" w:rsidP="0074028B" w:rsidRDefault="0074028B" w14:paraId="0CEB674A" w14:textId="77777777">
            <w:pPr>
              <w:pStyle w:val="CellBody"/>
            </w:pPr>
          </w:p>
        </w:tc>
        <w:tc>
          <w:tcPr>
            <w:tcW w:w="3238" w:type="dxa"/>
            <w:shd w:val="clear" w:color="auto" w:fill="auto"/>
          </w:tcPr>
          <w:p w:rsidRPr="00106283" w:rsidR="0074028B" w:rsidP="0074028B" w:rsidRDefault="0074028B" w14:paraId="3DE63848" w14:textId="583B5138">
            <w:pPr>
              <w:pStyle w:val="CellBody"/>
              <w:rPr>
                <w:lang w:val="ru-RU"/>
              </w:rPr>
            </w:pPr>
            <w:r w:rsidRPr="00106283">
              <w:t xml:space="preserve">On or about </w:t>
            </w:r>
            <w:r w:rsidR="00484C31">
              <w:t>1</w:t>
            </w:r>
            <w:r w:rsidR="00431A91">
              <w:t>1</w:t>
            </w:r>
            <w:r w:rsidR="00484C31">
              <w:t xml:space="preserve"> April</w:t>
            </w:r>
            <w:r w:rsidRPr="00106283" w:rsidR="00C84605">
              <w:rPr>
                <w:lang w:val="ru-RU"/>
              </w:rPr>
              <w:t xml:space="preserve"> </w:t>
            </w:r>
            <w:r w:rsidRPr="00106283">
              <w:t>202</w:t>
            </w:r>
            <w:r w:rsidRPr="00106283" w:rsidR="00C84605">
              <w:rPr>
                <w:lang w:val="ru-RU"/>
              </w:rPr>
              <w:t>3</w:t>
            </w:r>
          </w:p>
        </w:tc>
      </w:tr>
    </w:tbl>
    <w:p w:rsidR="00E85B4E" w:rsidP="00E85B4E" w:rsidRDefault="00E85B4E" w14:paraId="2289250A" w14:textId="025EB905">
      <w:pPr>
        <w:pStyle w:val="Body"/>
      </w:pPr>
    </w:p>
    <w:p w:rsidRPr="000E727C" w:rsidR="005003BC" w:rsidP="00E85B4E" w:rsidRDefault="005003BC" w14:paraId="7413F9A6" w14:textId="4C843389">
      <w:pPr>
        <w:pStyle w:val="Body"/>
        <w:rPr>
          <w:i/>
        </w:rPr>
      </w:pPr>
      <w:r w:rsidRPr="000E727C">
        <w:rPr>
          <w:i/>
        </w:rPr>
        <w:lastRenderedPageBreak/>
        <w:t xml:space="preserve">Unless stated otherwise, announcements in connection with the </w:t>
      </w:r>
      <w:r w:rsidRPr="008112B5">
        <w:rPr>
          <w:i/>
          <w:iCs/>
        </w:rPr>
        <w:t>Tender</w:t>
      </w:r>
      <w:r>
        <w:t xml:space="preserve"> </w:t>
      </w:r>
      <w:r w:rsidRPr="000E727C">
        <w:rPr>
          <w:i/>
        </w:rPr>
        <w:t xml:space="preserve">Offer will be made via the website of the </w:t>
      </w:r>
      <w:r>
        <w:rPr>
          <w:i/>
        </w:rPr>
        <w:t>Euronext Dublin</w:t>
      </w:r>
      <w:r w:rsidR="00FD3A71">
        <w:rPr>
          <w:i/>
        </w:rPr>
        <w:t xml:space="preserve"> and </w:t>
      </w:r>
      <w:r w:rsidRPr="000E727C">
        <w:rPr>
          <w:i/>
        </w:rPr>
        <w:t>by the delivery of notices to the Clearing Systems for communication to</w:t>
      </w:r>
      <w:r>
        <w:rPr>
          <w:i/>
        </w:rPr>
        <w:t xml:space="preserve"> Direct</w:t>
      </w:r>
      <w:r w:rsidRPr="000E727C">
        <w:rPr>
          <w:i/>
        </w:rPr>
        <w:t xml:space="preserve"> Participants. Copies of all such announcements, press releases and notices can also be obtained from the </w:t>
      </w:r>
      <w:r w:rsidR="0027613F">
        <w:rPr>
          <w:i/>
        </w:rPr>
        <w:t>Tender Agent</w:t>
      </w:r>
      <w:r w:rsidRPr="000E727C">
        <w:rPr>
          <w:i/>
        </w:rPr>
        <w:t xml:space="preserve"> whose contact details are on the last page of this </w:t>
      </w:r>
      <w:r w:rsidR="005C4C34">
        <w:rPr>
          <w:i/>
          <w:iCs/>
          <w:color w:val="000000" w:themeColor="text1"/>
          <w:szCs w:val="26"/>
        </w:rPr>
        <w:t>Tender Offer Memorandum</w:t>
      </w:r>
      <w:r w:rsidRPr="000E727C">
        <w:rPr>
          <w:i/>
        </w:rPr>
        <w:t>.</w:t>
      </w:r>
    </w:p>
    <w:p w:rsidRPr="00742DEE" w:rsidR="005003BC" w:rsidP="00E85B4E" w:rsidRDefault="005003BC" w14:paraId="3D5D3EA8" w14:textId="1E683A46">
      <w:pPr>
        <w:pStyle w:val="Body"/>
      </w:pPr>
      <w:r w:rsidRPr="00742DEE">
        <w:t>Noteholders are urged to check with any bank, securities broker or other intermediary through which they hold Notes when such intermediary would need to receive instructions from a Noteholder in order for that Noteholder to be able to participate in</w:t>
      </w:r>
      <w:r w:rsidR="00D45A7A">
        <w:t xml:space="preserve"> </w:t>
      </w:r>
      <w:r w:rsidRPr="00D45A7A" w:rsidR="00D45A7A">
        <w:t>the Tender Offer</w:t>
      </w:r>
      <w:r w:rsidRPr="00742DEE">
        <w:t xml:space="preserve"> before the deadlines specified in this </w:t>
      </w:r>
      <w:r w:rsidR="005C4C34">
        <w:rPr>
          <w:color w:val="000000" w:themeColor="text1"/>
          <w:szCs w:val="26"/>
        </w:rPr>
        <w:t>Tender Offer Memorandum</w:t>
      </w:r>
      <w:r w:rsidRPr="00742DEE">
        <w:t xml:space="preserve">. </w:t>
      </w:r>
      <w:r w:rsidRPr="005071B4" w:rsidR="005071B4">
        <w:t>The deadlines set by any such intermediary and each Clearing System will be earlier than the relevant deadlines specified above.</w:t>
      </w:r>
    </w:p>
    <w:p w:rsidRPr="00742DEE" w:rsidR="005003BC" w:rsidP="00727F48" w:rsidRDefault="005003BC" w14:paraId="3D39757E" w14:textId="77777777">
      <w:pPr>
        <w:pStyle w:val="Body"/>
      </w:pPr>
    </w:p>
    <w:p w:rsidR="005003BC" w:rsidP="003E0837" w:rsidRDefault="00727F48" w14:paraId="605D4108" w14:textId="1AFD6591">
      <w:pPr>
        <w:pStyle w:val="Head-C"/>
      </w:pPr>
      <w:bookmarkStart w:name="_Toc122976051" w:id="16"/>
      <w:r w:rsidRPr="00742DEE">
        <w:lastRenderedPageBreak/>
        <w:t>DEFINITIONS</w:t>
      </w:r>
      <w:bookmarkEnd w:id="16"/>
    </w:p>
    <w:tbl>
      <w:tblPr>
        <w:tblW w:w="9044" w:type="dxa"/>
        <w:tblInd w:w="428" w:type="dxa"/>
        <w:tblLayout w:type="fixed"/>
        <w:tblCellMar>
          <w:left w:w="144" w:type="dxa"/>
          <w:right w:w="144" w:type="dxa"/>
        </w:tblCellMar>
        <w:tblLook w:val="0000" w:firstRow="0" w:lastRow="0" w:firstColumn="0" w:lastColumn="0" w:noHBand="0" w:noVBand="0"/>
      </w:tblPr>
      <w:tblGrid>
        <w:gridCol w:w="3626"/>
        <w:gridCol w:w="5418"/>
      </w:tblGrid>
      <w:tr w:rsidR="00727F48" w:rsidTr="00727F48" w14:paraId="458BD0AF" w14:textId="77777777">
        <w:tc>
          <w:tcPr>
            <w:tcW w:w="3626" w:type="dxa"/>
          </w:tcPr>
          <w:p w:rsidR="00727F48" w:rsidP="0034146C" w:rsidRDefault="00727F48" w14:paraId="0E7C56A1" w14:textId="3667D579">
            <w:pPr>
              <w:pStyle w:val="CellBody"/>
              <w:rPr>
                <w:b/>
              </w:rPr>
            </w:pPr>
            <w:r w:rsidRPr="00C96865">
              <w:rPr>
                <w:bCs/>
              </w:rPr>
              <w:t>“</w:t>
            </w:r>
            <w:r>
              <w:rPr>
                <w:b/>
              </w:rPr>
              <w:t>Accrued Interest</w:t>
            </w:r>
            <w:r w:rsidRPr="00C96865">
              <w:rPr>
                <w:bCs/>
              </w:rPr>
              <w:t>”</w:t>
            </w:r>
          </w:p>
        </w:tc>
        <w:tc>
          <w:tcPr>
            <w:tcW w:w="5418" w:type="dxa"/>
          </w:tcPr>
          <w:p w:rsidR="00727F48" w:rsidP="0034146C" w:rsidRDefault="00727F48" w14:paraId="53141C3A" w14:textId="452A6165">
            <w:pPr>
              <w:pStyle w:val="CellBody"/>
              <w:jc w:val="both"/>
            </w:pPr>
            <w:r w:rsidRPr="00742DEE">
              <w:t xml:space="preserve">Interest accrued and unpaid on the Notes from (and including) the immediately preceding interest payment date for the Notes to (but excluding) the </w:t>
            </w:r>
            <w:r w:rsidRPr="0073477E">
              <w:t>Settlement</w:t>
            </w:r>
            <w:r>
              <w:t xml:space="preserve"> Date, calculated in accordance with the terms and conditions of the Notes</w:t>
            </w:r>
            <w:r w:rsidRPr="00742DEE">
              <w:t>.</w:t>
            </w:r>
          </w:p>
        </w:tc>
      </w:tr>
      <w:tr w:rsidR="00727F48" w:rsidTr="00727F48" w14:paraId="75649BE6" w14:textId="77777777">
        <w:tc>
          <w:tcPr>
            <w:tcW w:w="3626" w:type="dxa"/>
          </w:tcPr>
          <w:p w:rsidR="00727F48" w:rsidP="00727F48" w:rsidRDefault="00727F48" w14:paraId="1FD1ADD5" w14:textId="331EF2F8">
            <w:pPr>
              <w:pStyle w:val="CellBody"/>
              <w:rPr>
                <w:b/>
              </w:rPr>
            </w:pPr>
            <w:r>
              <w:t>“</w:t>
            </w:r>
            <w:r w:rsidRPr="000664FA">
              <w:rPr>
                <w:b/>
                <w:bCs/>
              </w:rPr>
              <w:t>Accrued Interest Payment</w:t>
            </w:r>
            <w:r>
              <w:t>”</w:t>
            </w:r>
          </w:p>
        </w:tc>
        <w:tc>
          <w:tcPr>
            <w:tcW w:w="5418" w:type="dxa"/>
          </w:tcPr>
          <w:p w:rsidR="00727F48" w:rsidP="00727F48" w:rsidRDefault="00727F48" w14:paraId="4A067934" w14:textId="63AFF9AF">
            <w:pPr>
              <w:pStyle w:val="CellBody"/>
              <w:jc w:val="both"/>
            </w:pPr>
            <w:r w:rsidRPr="00742DEE">
              <w:t xml:space="preserve">An amount in cash (rounded </w:t>
            </w:r>
            <w:r>
              <w:t>to the nearest cent with half a cent being rounded upwards</w:t>
            </w:r>
            <w:r w:rsidRPr="00742DEE">
              <w:t>) equal to the Accrued Interest on the Notes validly tendered by a Noteholder and accepted</w:t>
            </w:r>
            <w:r>
              <w:t xml:space="preserve"> for purchase</w:t>
            </w:r>
            <w:r w:rsidRPr="00742DEE">
              <w:t xml:space="preserve"> by the </w:t>
            </w:r>
            <w:r w:rsidR="0002309D">
              <w:t>Offeror in the Tender Offer</w:t>
            </w:r>
            <w:r w:rsidRPr="00742DEE">
              <w:t>.</w:t>
            </w:r>
          </w:p>
        </w:tc>
      </w:tr>
      <w:tr w:rsidR="00727F48" w:rsidTr="00727F48" w14:paraId="4B7793D0" w14:textId="77777777">
        <w:tc>
          <w:tcPr>
            <w:tcW w:w="3626" w:type="dxa"/>
          </w:tcPr>
          <w:p w:rsidR="00727F48" w:rsidP="00727F48" w:rsidRDefault="00727F48" w14:paraId="2035BEBD" w14:textId="456E8295">
            <w:pPr>
              <w:pStyle w:val="CellBody"/>
              <w:rPr>
                <w:b/>
                <w:bCs/>
              </w:rPr>
            </w:pPr>
            <w:r>
              <w:t>“</w:t>
            </w:r>
            <w:r w:rsidRPr="000664FA">
              <w:rPr>
                <w:b/>
                <w:bCs/>
              </w:rPr>
              <w:t>Clearing System Notice</w:t>
            </w:r>
            <w:r>
              <w:t>”</w:t>
            </w:r>
          </w:p>
        </w:tc>
        <w:tc>
          <w:tcPr>
            <w:tcW w:w="5418" w:type="dxa"/>
          </w:tcPr>
          <w:p w:rsidRPr="00742DEE" w:rsidR="00727F48" w:rsidP="00727F48" w:rsidRDefault="00727F48" w14:paraId="48E31A5F" w14:textId="4481648B">
            <w:pPr>
              <w:pStyle w:val="CellBody"/>
              <w:jc w:val="both"/>
            </w:pPr>
            <w:r w:rsidRPr="00742DEE">
              <w:t xml:space="preserve">The </w:t>
            </w:r>
            <w:r>
              <w:t>“</w:t>
            </w:r>
            <w:r w:rsidRPr="00742DEE">
              <w:t>Deadlines and Corporate Events</w:t>
            </w:r>
            <w:r>
              <w:t>”</w:t>
            </w:r>
            <w:r w:rsidRPr="00742DEE">
              <w:t xml:space="preserve"> or similar form of notice to be sent to Direct Participants by each of the Clearing Systems on or about the date of this </w:t>
            </w:r>
            <w:r w:rsidR="005C4C34">
              <w:rPr>
                <w:color w:val="000000" w:themeColor="text1"/>
                <w:szCs w:val="26"/>
              </w:rPr>
              <w:t>Tender Offer Memorandum</w:t>
            </w:r>
            <w:r w:rsidRPr="00742DEE">
              <w:t xml:space="preserve"> informing Direct Participants of the procedures to be followed in order to participate in the </w:t>
            </w:r>
            <w:r>
              <w:t xml:space="preserve">Tender </w:t>
            </w:r>
            <w:r w:rsidRPr="00742DEE">
              <w:t>Offer.</w:t>
            </w:r>
          </w:p>
        </w:tc>
      </w:tr>
      <w:tr w:rsidR="00727F48" w:rsidTr="00727F48" w14:paraId="61335BE4" w14:textId="77777777">
        <w:tc>
          <w:tcPr>
            <w:tcW w:w="3626" w:type="dxa"/>
          </w:tcPr>
          <w:p w:rsidR="00727F48" w:rsidP="00727F48" w:rsidRDefault="00727F48" w14:paraId="4F714503" w14:textId="0A5935FD">
            <w:pPr>
              <w:pStyle w:val="CellBody"/>
            </w:pPr>
            <w:r>
              <w:t>“</w:t>
            </w:r>
            <w:r w:rsidRPr="000664FA">
              <w:rPr>
                <w:b/>
                <w:bCs/>
              </w:rPr>
              <w:t>Clearing Systems</w:t>
            </w:r>
            <w:r>
              <w:t>”</w:t>
            </w:r>
          </w:p>
        </w:tc>
        <w:tc>
          <w:tcPr>
            <w:tcW w:w="5418" w:type="dxa"/>
          </w:tcPr>
          <w:p w:rsidRPr="00742DEE" w:rsidR="00727F48" w:rsidP="00727F48" w:rsidRDefault="00727F48" w14:paraId="477150BE" w14:textId="1B78DD90">
            <w:pPr>
              <w:pStyle w:val="CellBody"/>
              <w:jc w:val="both"/>
            </w:pPr>
            <w:r>
              <w:t>Euroclear</w:t>
            </w:r>
            <w:r w:rsidRPr="00742DEE">
              <w:t xml:space="preserve"> and </w:t>
            </w:r>
            <w:proofErr w:type="spellStart"/>
            <w:r w:rsidRPr="00742DEE">
              <w:t>Clearstream</w:t>
            </w:r>
            <w:proofErr w:type="spellEnd"/>
            <w:r w:rsidRPr="00742DEE">
              <w:t>, Luxembourg.</w:t>
            </w:r>
          </w:p>
        </w:tc>
      </w:tr>
      <w:tr w:rsidR="00727F48" w:rsidTr="00727F48" w14:paraId="3D77AAB0" w14:textId="77777777">
        <w:tc>
          <w:tcPr>
            <w:tcW w:w="3626" w:type="dxa"/>
          </w:tcPr>
          <w:p w:rsidR="00727F48" w:rsidP="00727F48" w:rsidRDefault="00727F48" w14:paraId="1898794E" w14:textId="32DBEE37">
            <w:pPr>
              <w:pStyle w:val="CellBody"/>
            </w:pPr>
            <w:r>
              <w:t>“</w:t>
            </w:r>
            <w:proofErr w:type="spellStart"/>
            <w:r w:rsidRPr="000664FA">
              <w:rPr>
                <w:b/>
                <w:bCs/>
              </w:rPr>
              <w:t>Clearstream</w:t>
            </w:r>
            <w:proofErr w:type="spellEnd"/>
            <w:r w:rsidRPr="000664FA">
              <w:rPr>
                <w:b/>
                <w:bCs/>
              </w:rPr>
              <w:t>, Luxembourg</w:t>
            </w:r>
            <w:r>
              <w:t>”</w:t>
            </w:r>
          </w:p>
        </w:tc>
        <w:tc>
          <w:tcPr>
            <w:tcW w:w="5418" w:type="dxa"/>
          </w:tcPr>
          <w:p w:rsidR="00727F48" w:rsidP="00727F48" w:rsidRDefault="00727F48" w14:paraId="2C727177" w14:textId="3A4E8A60">
            <w:pPr>
              <w:pStyle w:val="CellBody"/>
              <w:jc w:val="both"/>
            </w:pPr>
            <w:proofErr w:type="spellStart"/>
            <w:r w:rsidRPr="00742DEE">
              <w:t>Clearstream</w:t>
            </w:r>
            <w:proofErr w:type="spellEnd"/>
            <w:r w:rsidRPr="00742DEE">
              <w:t xml:space="preserve"> Banking </w:t>
            </w:r>
            <w:r>
              <w:t>S.A</w:t>
            </w:r>
            <w:r w:rsidRPr="00742DEE">
              <w:t>.</w:t>
            </w:r>
          </w:p>
        </w:tc>
      </w:tr>
      <w:tr w:rsidR="00727F48" w:rsidTr="00727F48" w14:paraId="2ADDDCC4" w14:textId="77777777">
        <w:tc>
          <w:tcPr>
            <w:tcW w:w="3626" w:type="dxa"/>
          </w:tcPr>
          <w:p w:rsidR="00727F48" w:rsidP="00727F48" w:rsidRDefault="00727F48" w14:paraId="7CE1A772" w14:textId="1C6B0AAB">
            <w:pPr>
              <w:pStyle w:val="CellBody"/>
            </w:pPr>
            <w:r>
              <w:t>“</w:t>
            </w:r>
            <w:r w:rsidRPr="000664FA">
              <w:rPr>
                <w:b/>
                <w:bCs/>
              </w:rPr>
              <w:t>Direct Participant</w:t>
            </w:r>
            <w:r>
              <w:t>”</w:t>
            </w:r>
          </w:p>
        </w:tc>
        <w:tc>
          <w:tcPr>
            <w:tcW w:w="5418" w:type="dxa"/>
          </w:tcPr>
          <w:p w:rsidRPr="00742DEE" w:rsidR="00727F48" w:rsidP="00727F48" w:rsidRDefault="00727F48" w14:paraId="77E1C209" w14:textId="51851631">
            <w:pPr>
              <w:pStyle w:val="CellBody"/>
              <w:jc w:val="both"/>
            </w:pPr>
            <w:r w:rsidRPr="00742DEE">
              <w:t>Each person who is shown in the records of the relevant Clearing System as a holder of the Notes</w:t>
            </w:r>
            <w:r>
              <w:t xml:space="preserve"> (except for any Clearing System in its capacity as an accountholder of another Clearing System)</w:t>
            </w:r>
            <w:r w:rsidRPr="00742DEE">
              <w:t>.</w:t>
            </w:r>
          </w:p>
        </w:tc>
      </w:tr>
      <w:tr w:rsidR="00727F48" w:rsidTr="00727F48" w14:paraId="46915FF4" w14:textId="77777777">
        <w:tc>
          <w:tcPr>
            <w:tcW w:w="3626" w:type="dxa"/>
          </w:tcPr>
          <w:p w:rsidR="00727F48" w:rsidP="00727F48" w:rsidRDefault="00727F48" w14:paraId="016CD7CC" w14:textId="521AE2D7">
            <w:pPr>
              <w:pStyle w:val="CellBody"/>
            </w:pPr>
            <w:r>
              <w:t>“</w:t>
            </w:r>
            <w:r w:rsidRPr="004B2668">
              <w:rPr>
                <w:b/>
                <w:bCs/>
              </w:rPr>
              <w:t>Euroclear</w:t>
            </w:r>
            <w:r>
              <w:t>”</w:t>
            </w:r>
          </w:p>
        </w:tc>
        <w:tc>
          <w:tcPr>
            <w:tcW w:w="5418" w:type="dxa"/>
          </w:tcPr>
          <w:p w:rsidRPr="00742DEE" w:rsidR="00727F48" w:rsidP="00727F48" w:rsidRDefault="00727F48" w14:paraId="479F551F" w14:textId="6C7D2BB8">
            <w:pPr>
              <w:pStyle w:val="CellBody"/>
              <w:jc w:val="both"/>
            </w:pPr>
            <w:r>
              <w:t>Euroclear</w:t>
            </w:r>
            <w:r w:rsidRPr="00837AE0">
              <w:t xml:space="preserve"> </w:t>
            </w:r>
            <w:r w:rsidRPr="00742DEE">
              <w:t>Bank SA/NV.</w:t>
            </w:r>
          </w:p>
        </w:tc>
      </w:tr>
      <w:tr w:rsidR="00727F48" w:rsidTr="00727F48" w14:paraId="3418E387" w14:textId="77777777">
        <w:tc>
          <w:tcPr>
            <w:tcW w:w="3626" w:type="dxa"/>
          </w:tcPr>
          <w:p w:rsidR="00727F48" w:rsidP="00727F48" w:rsidRDefault="00727F48" w14:paraId="45881697" w14:textId="39DD89C9">
            <w:pPr>
              <w:pStyle w:val="CellBody"/>
            </w:pPr>
            <w:r>
              <w:t>“</w:t>
            </w:r>
            <w:r>
              <w:rPr>
                <w:b/>
                <w:bCs/>
              </w:rPr>
              <w:t>Eur</w:t>
            </w:r>
            <w:r w:rsidRPr="000664FA">
              <w:rPr>
                <w:b/>
                <w:bCs/>
              </w:rPr>
              <w:t>onext Dublin</w:t>
            </w:r>
            <w:r>
              <w:t>”</w:t>
            </w:r>
          </w:p>
        </w:tc>
        <w:tc>
          <w:tcPr>
            <w:tcW w:w="5418" w:type="dxa"/>
          </w:tcPr>
          <w:p w:rsidR="00727F48" w:rsidP="00727F48" w:rsidRDefault="00727F48" w14:paraId="10D7710E" w14:textId="02FBB266">
            <w:pPr>
              <w:pStyle w:val="CellBody"/>
              <w:jc w:val="both"/>
            </w:pPr>
            <w:r>
              <w:t>The Irish Stock Exchange plc, trading as Euronext Dublin.</w:t>
            </w:r>
          </w:p>
        </w:tc>
      </w:tr>
      <w:tr w:rsidR="00805EC4" w:rsidTr="00727F48" w14:paraId="717B05F6" w14:textId="77777777">
        <w:tc>
          <w:tcPr>
            <w:tcW w:w="3626" w:type="dxa"/>
          </w:tcPr>
          <w:p w:rsidR="00805EC4" w:rsidP="00805EC4" w:rsidRDefault="00805EC4" w14:paraId="7FD25892" w14:textId="5DE369E6">
            <w:pPr>
              <w:pStyle w:val="CellBody"/>
            </w:pPr>
            <w:r>
              <w:rPr>
                <w:b/>
                <w:iCs/>
              </w:rPr>
              <w:t>“</w:t>
            </w:r>
            <w:r w:rsidRPr="00805EC4">
              <w:rPr>
                <w:b/>
                <w:iCs/>
              </w:rPr>
              <w:t>Expiration Deadline”</w:t>
            </w:r>
          </w:p>
        </w:tc>
        <w:tc>
          <w:tcPr>
            <w:tcW w:w="5418" w:type="dxa"/>
          </w:tcPr>
          <w:p w:rsidR="00805EC4" w:rsidP="00805EC4" w:rsidRDefault="00805EC4" w14:paraId="439CCD41" w14:textId="6E709BB0">
            <w:pPr>
              <w:pStyle w:val="CellBody"/>
              <w:jc w:val="both"/>
            </w:pPr>
            <w:r w:rsidRPr="008A4A3C">
              <w:t xml:space="preserve">5:00 </w:t>
            </w:r>
            <w:r>
              <w:t>p</w:t>
            </w:r>
            <w:r w:rsidRPr="008A4A3C">
              <w:t>.</w:t>
            </w:r>
            <w:r>
              <w:t>m</w:t>
            </w:r>
            <w:r w:rsidRPr="008A4A3C">
              <w:t>. (</w:t>
            </w:r>
            <w:r w:rsidRPr="00034311" w:rsidR="00232BEE">
              <w:t>London time</w:t>
            </w:r>
            <w:r w:rsidRPr="00034311">
              <w:t xml:space="preserve">) on </w:t>
            </w:r>
            <w:r w:rsidR="001912EE">
              <w:t>20 March</w:t>
            </w:r>
            <w:r w:rsidRPr="00034311" w:rsidR="002844CA">
              <w:t xml:space="preserve"> </w:t>
            </w:r>
            <w:r w:rsidRPr="00034311">
              <w:t>202</w:t>
            </w:r>
            <w:r w:rsidRPr="00034311" w:rsidR="002844CA">
              <w:t>3</w:t>
            </w:r>
            <w:r w:rsidRPr="00034311">
              <w:t>.</w:t>
            </w:r>
          </w:p>
        </w:tc>
      </w:tr>
      <w:tr w:rsidR="00727F48" w:rsidTr="00727F48" w14:paraId="52EAD822" w14:textId="77777777">
        <w:tc>
          <w:tcPr>
            <w:tcW w:w="3626" w:type="dxa"/>
          </w:tcPr>
          <w:p w:rsidR="00727F48" w:rsidP="00727F48" w:rsidRDefault="00727F48" w14:paraId="6523F8DE" w14:textId="16727CA0">
            <w:pPr>
              <w:pStyle w:val="CellBody"/>
            </w:pPr>
            <w:r>
              <w:t>“</w:t>
            </w:r>
            <w:r w:rsidRPr="00BC7D3D">
              <w:rPr>
                <w:b/>
                <w:bCs/>
              </w:rPr>
              <w:t xml:space="preserve">Highest Accepted </w:t>
            </w:r>
            <w:r w:rsidRPr="005A59E3">
              <w:rPr>
                <w:b/>
                <w:bCs/>
              </w:rPr>
              <w:t xml:space="preserve">Purchase </w:t>
            </w:r>
            <w:r w:rsidRPr="00BC7D3D">
              <w:rPr>
                <w:b/>
                <w:bCs/>
              </w:rPr>
              <w:t>Price</w:t>
            </w:r>
            <w:r>
              <w:t>”</w:t>
            </w:r>
          </w:p>
        </w:tc>
        <w:tc>
          <w:tcPr>
            <w:tcW w:w="5418" w:type="dxa"/>
          </w:tcPr>
          <w:p w:rsidR="00727F48" w:rsidP="00727F48" w:rsidRDefault="00727F48" w14:paraId="300F382D" w14:textId="159853FA">
            <w:pPr>
              <w:pStyle w:val="CellBody"/>
              <w:jc w:val="both"/>
            </w:pPr>
            <w:r>
              <w:t xml:space="preserve">The highest Purchase Price in the Tender Offer, determined as set out in </w:t>
            </w:r>
            <w:r w:rsidR="006A1F4E">
              <w:t>“</w:t>
            </w:r>
            <w:r w:rsidRPr="00831E73" w:rsidR="006A1F4E">
              <w:rPr>
                <w:i/>
                <w:iCs/>
              </w:rPr>
              <w:t>Terms and Conditions of the</w:t>
            </w:r>
            <w:r w:rsidRPr="00831E73" w:rsidR="006A1F4E">
              <w:t xml:space="preserve"> </w:t>
            </w:r>
            <w:r w:rsidRPr="00831E73" w:rsidR="006A1F4E">
              <w:rPr>
                <w:i/>
                <w:iCs/>
              </w:rPr>
              <w:t>Tender Offer</w:t>
            </w:r>
            <w:r w:rsidR="002844CA">
              <w:rPr>
                <w:i/>
                <w:iCs/>
              </w:rPr>
              <w:t xml:space="preserve"> </w:t>
            </w:r>
            <w:r w:rsidRPr="00EE0E9E">
              <w:rPr>
                <w:i/>
                <w:iCs/>
              </w:rPr>
              <w:t>–</w:t>
            </w:r>
            <w:r w:rsidRPr="00BC7D3D">
              <w:rPr>
                <w:i/>
                <w:iCs/>
              </w:rPr>
              <w:t xml:space="preserve">Acceptance of </w:t>
            </w:r>
            <w:r w:rsidRPr="00D07079" w:rsidR="00D07079">
              <w:rPr>
                <w:i/>
                <w:iCs/>
              </w:rPr>
              <w:t>Tender Instructions</w:t>
            </w:r>
            <w:r w:rsidRPr="00BC7D3D">
              <w:rPr>
                <w:i/>
                <w:iCs/>
              </w:rPr>
              <w:t xml:space="preserve"> and Pro-Ration</w:t>
            </w:r>
            <w:r>
              <w:t>”.</w:t>
            </w:r>
          </w:p>
        </w:tc>
      </w:tr>
      <w:tr w:rsidR="00727F48" w:rsidTr="00727F48" w14:paraId="50ACDD07" w14:textId="77777777">
        <w:tc>
          <w:tcPr>
            <w:tcW w:w="3626" w:type="dxa"/>
          </w:tcPr>
          <w:p w:rsidR="00727F48" w:rsidP="00727F48" w:rsidRDefault="00727F48" w14:paraId="51A5AC79" w14:textId="12A82D83">
            <w:pPr>
              <w:pStyle w:val="CellBody"/>
            </w:pPr>
            <w:r>
              <w:t>“</w:t>
            </w:r>
            <w:r>
              <w:rPr>
                <w:b/>
                <w:bCs/>
              </w:rPr>
              <w:t>Indenture</w:t>
            </w:r>
            <w:r>
              <w:t>”</w:t>
            </w:r>
          </w:p>
        </w:tc>
        <w:tc>
          <w:tcPr>
            <w:tcW w:w="5418" w:type="dxa"/>
          </w:tcPr>
          <w:p w:rsidR="00727F48" w:rsidP="00727F48" w:rsidRDefault="00727F48" w14:paraId="5BD68B5A" w14:textId="66465967">
            <w:pPr>
              <w:pStyle w:val="CellBody"/>
              <w:jc w:val="both"/>
            </w:pPr>
            <w:r w:rsidRPr="00980C35">
              <w:t xml:space="preserve">The </w:t>
            </w:r>
            <w:r w:rsidR="00A97FED">
              <w:t>I</w:t>
            </w:r>
            <w:r w:rsidRPr="00980C35">
              <w:t xml:space="preserve">ndenture dated 17 May 2021 among </w:t>
            </w:r>
            <w:r w:rsidRPr="001D0ADF" w:rsidR="001D0ADF">
              <w:t>DTEK Finance plc</w:t>
            </w:r>
            <w:r w:rsidR="001D0ADF">
              <w:t>,</w:t>
            </w:r>
            <w:r w:rsidRPr="001D0ADF" w:rsidR="001D0ADF">
              <w:t xml:space="preserve"> </w:t>
            </w:r>
            <w:r w:rsidR="00EE3F05">
              <w:t>as original issuer,</w:t>
            </w:r>
            <w:r w:rsidRPr="00980C35">
              <w:t xml:space="preserve"> the Guarantors party thereto, GLAS TRUST COMPANY LLC</w:t>
            </w:r>
            <w:r w:rsidR="005508E4">
              <w:t>,</w:t>
            </w:r>
            <w:r w:rsidRPr="00980C35">
              <w:t xml:space="preserve"> as the Trustee and the Paying Agent, GLAS Trust Corporation Limited</w:t>
            </w:r>
            <w:r w:rsidR="005508E4">
              <w:t>,</w:t>
            </w:r>
            <w:r w:rsidRPr="00980C35">
              <w:t xml:space="preserve"> as the Security Agent and GLAS USA LLC as the Transfer Agent and the Registrar, relating to the Notes</w:t>
            </w:r>
            <w:r w:rsidR="00F66A49">
              <w:t xml:space="preserve">, </w:t>
            </w:r>
            <w:r w:rsidRPr="008319DB" w:rsidR="008319DB">
              <w:t xml:space="preserve">as amended by the supplemental indenture dated </w:t>
            </w:r>
            <w:r w:rsidR="0081285F">
              <w:t>25</w:t>
            </w:r>
            <w:r w:rsidRPr="008319DB" w:rsidR="008319DB">
              <w:t xml:space="preserve"> November 2022, among DTEK Finance plc, as original issuer, DTEK Energy B.V., as successor issuer, the Guarantors party thereto and GLAS Trust Company LLC, as </w:t>
            </w:r>
            <w:r w:rsidR="00471C7B">
              <w:t>T</w:t>
            </w:r>
            <w:r w:rsidRPr="008319DB" w:rsidR="008319DB">
              <w:t>rustee</w:t>
            </w:r>
            <w:r w:rsidR="00B92CCE">
              <w:t xml:space="preserve">, as further </w:t>
            </w:r>
            <w:r w:rsidR="006F49F1">
              <w:t xml:space="preserve">amended by </w:t>
            </w:r>
            <w:r w:rsidRPr="006F49F1" w:rsidR="006F49F1">
              <w:t xml:space="preserve">the supplemental indenture dated </w:t>
            </w:r>
            <w:r w:rsidR="0081285F">
              <w:t xml:space="preserve">13 </w:t>
            </w:r>
            <w:r w:rsidRPr="009206C3" w:rsidR="009206C3">
              <w:t>December</w:t>
            </w:r>
            <w:r w:rsidR="0081285F">
              <w:t xml:space="preserve"> </w:t>
            </w:r>
            <w:r w:rsidRPr="009206C3" w:rsidR="009206C3">
              <w:t>2022</w:t>
            </w:r>
            <w:r w:rsidRPr="006F49F1" w:rsidR="006F49F1">
              <w:t xml:space="preserve">, among </w:t>
            </w:r>
            <w:r w:rsidRPr="00663556" w:rsidR="00663556">
              <w:t>DTEK Energy B.V.</w:t>
            </w:r>
            <w:r w:rsidRPr="006F49F1" w:rsidR="006F49F1">
              <w:t xml:space="preserve">, as </w:t>
            </w:r>
            <w:r w:rsidR="00471C7B">
              <w:t>I</w:t>
            </w:r>
            <w:r w:rsidRPr="006F49F1" w:rsidR="006F49F1">
              <w:t>ssuer</w:t>
            </w:r>
            <w:r w:rsidR="009206C3">
              <w:t xml:space="preserve"> and </w:t>
            </w:r>
            <w:r w:rsidR="00471C7B">
              <w:t>P</w:t>
            </w:r>
            <w:r w:rsidR="009206C3">
              <w:t xml:space="preserve">arent </w:t>
            </w:r>
            <w:r w:rsidR="00471C7B">
              <w:t>G</w:t>
            </w:r>
            <w:r w:rsidR="009206C3">
              <w:t xml:space="preserve">uarantor </w:t>
            </w:r>
            <w:r w:rsidRPr="006F49F1" w:rsidR="006F49F1">
              <w:t xml:space="preserve">and GLAS Trust Company LLC, as </w:t>
            </w:r>
            <w:r w:rsidR="00471C7B">
              <w:t>T</w:t>
            </w:r>
            <w:r w:rsidRPr="006F49F1" w:rsidR="006F49F1">
              <w:t>rustee</w:t>
            </w:r>
            <w:r w:rsidR="006F49F1">
              <w:t xml:space="preserve"> </w:t>
            </w:r>
            <w:r w:rsidR="00F66A49">
              <w:t>and as amended, supplemented or otherwise modified from time to time</w:t>
            </w:r>
            <w:r>
              <w:t>.</w:t>
            </w:r>
          </w:p>
        </w:tc>
      </w:tr>
      <w:tr w:rsidR="00AD5068" w:rsidTr="00727F48" w14:paraId="1E8837A6" w14:textId="77777777">
        <w:tc>
          <w:tcPr>
            <w:tcW w:w="3626" w:type="dxa"/>
          </w:tcPr>
          <w:p w:rsidR="00AD5068" w:rsidP="00727F48" w:rsidRDefault="00AD5068" w14:paraId="1B7668A6" w14:textId="282C703C">
            <w:pPr>
              <w:pStyle w:val="CellBody"/>
            </w:pPr>
            <w:r>
              <w:t>“</w:t>
            </w:r>
            <w:r w:rsidRPr="00AD5068">
              <w:rPr>
                <w:b/>
                <w:bCs/>
              </w:rPr>
              <w:t>Maximum Acceptance Amount</w:t>
            </w:r>
            <w:r>
              <w:t>”</w:t>
            </w:r>
          </w:p>
        </w:tc>
        <w:tc>
          <w:tcPr>
            <w:tcW w:w="5418" w:type="dxa"/>
          </w:tcPr>
          <w:p w:rsidR="00AD5068" w:rsidP="00727F48" w:rsidRDefault="00CD3FF8" w14:paraId="28995CC2" w14:textId="22600FCB">
            <w:pPr>
              <w:pStyle w:val="CellBody"/>
              <w:jc w:val="both"/>
            </w:pPr>
            <w:r w:rsidRPr="00CD3FF8">
              <w:t xml:space="preserve">The highest sum </w:t>
            </w:r>
            <w:r w:rsidR="006C7E5B">
              <w:t>payable by the Offeror for</w:t>
            </w:r>
            <w:r w:rsidRPr="00CD3FF8">
              <w:t xml:space="preserve"> all Purchase Price Payments</w:t>
            </w:r>
            <w:r w:rsidR="00EB4817">
              <w:t>,</w:t>
            </w:r>
            <w:r w:rsidRPr="00CD3FF8">
              <w:t xml:space="preserve"> </w:t>
            </w:r>
            <w:r w:rsidRPr="00D3606D" w:rsidR="00D3606D">
              <w:t xml:space="preserve">as set out on the cover page of this </w:t>
            </w:r>
            <w:r w:rsidR="005C4C34">
              <w:t>Tender Offer Memorandum</w:t>
            </w:r>
            <w:r w:rsidR="00242375">
              <w:t>.</w:t>
            </w:r>
          </w:p>
        </w:tc>
      </w:tr>
      <w:tr w:rsidR="00727F48" w:rsidTr="00727F48" w14:paraId="466963FE" w14:textId="77777777">
        <w:tc>
          <w:tcPr>
            <w:tcW w:w="3626" w:type="dxa"/>
          </w:tcPr>
          <w:p w:rsidR="00727F48" w:rsidP="00727F48" w:rsidRDefault="00727F48" w14:paraId="1E6DFCAB" w14:textId="542DDB6B">
            <w:pPr>
              <w:pStyle w:val="CellBody"/>
            </w:pPr>
            <w:r>
              <w:t>“</w:t>
            </w:r>
            <w:r w:rsidRPr="00E00025">
              <w:rPr>
                <w:b/>
                <w:bCs/>
              </w:rPr>
              <w:t>Minimum Denomination</w:t>
            </w:r>
            <w:r>
              <w:t>”</w:t>
            </w:r>
          </w:p>
        </w:tc>
        <w:tc>
          <w:tcPr>
            <w:tcW w:w="5418" w:type="dxa"/>
          </w:tcPr>
          <w:p w:rsidR="00727F48" w:rsidP="00727F48" w:rsidRDefault="00727F48" w14:paraId="7C82F120" w14:textId="7E477108">
            <w:pPr>
              <w:pStyle w:val="CellBody"/>
              <w:jc w:val="both"/>
            </w:pPr>
            <w:r>
              <w:t>U.S.$</w:t>
            </w:r>
            <w:r w:rsidRPr="00D47CC3">
              <w:t>2,000 in principal amount of the Notes.</w:t>
            </w:r>
          </w:p>
        </w:tc>
      </w:tr>
      <w:tr w:rsidR="00727F48" w:rsidTr="00727F48" w14:paraId="3469D88B" w14:textId="77777777">
        <w:tc>
          <w:tcPr>
            <w:tcW w:w="3626" w:type="dxa"/>
          </w:tcPr>
          <w:p w:rsidR="00727F48" w:rsidP="00727F48" w:rsidRDefault="00727F48" w14:paraId="41BEB233" w14:textId="5BA518FF">
            <w:pPr>
              <w:pStyle w:val="CellBody"/>
            </w:pPr>
            <w:r>
              <w:lastRenderedPageBreak/>
              <w:t>“</w:t>
            </w:r>
            <w:r>
              <w:rPr>
                <w:b/>
                <w:bCs/>
              </w:rPr>
              <w:t>Minimum Purchase Price</w:t>
            </w:r>
            <w:r>
              <w:t>”</w:t>
            </w:r>
          </w:p>
        </w:tc>
        <w:tc>
          <w:tcPr>
            <w:tcW w:w="5418" w:type="dxa"/>
          </w:tcPr>
          <w:p w:rsidR="00727F48" w:rsidP="00727F48" w:rsidRDefault="00727F48" w14:paraId="4BC735DA" w14:textId="5BAAB254">
            <w:pPr>
              <w:pStyle w:val="CellBody"/>
              <w:jc w:val="both"/>
            </w:pPr>
            <w:r w:rsidRPr="008312A8">
              <w:t>The</w:t>
            </w:r>
            <w:r>
              <w:t xml:space="preserve"> lowest </w:t>
            </w:r>
            <w:r w:rsidRPr="008312A8">
              <w:t>Purchase Price at which the Notes will be accepted for purchase by the Offeror</w:t>
            </w:r>
            <w:r w:rsidR="00EB4817">
              <w:t>,</w:t>
            </w:r>
            <w:r w:rsidRPr="008312A8">
              <w:t xml:space="preserve"> </w:t>
            </w:r>
            <w:r>
              <w:t xml:space="preserve">as set out on the cover page of this </w:t>
            </w:r>
            <w:r w:rsidR="005C4C34">
              <w:rPr>
                <w:color w:val="000000" w:themeColor="text1"/>
                <w:szCs w:val="26"/>
              </w:rPr>
              <w:t>Tender Offer Memorandum</w:t>
            </w:r>
            <w:r>
              <w:t>.</w:t>
            </w:r>
          </w:p>
        </w:tc>
      </w:tr>
      <w:tr w:rsidR="00727F48" w:rsidTr="00727F48" w14:paraId="6C3CD45B" w14:textId="77777777">
        <w:tc>
          <w:tcPr>
            <w:tcW w:w="3626" w:type="dxa"/>
          </w:tcPr>
          <w:p w:rsidR="00727F48" w:rsidP="00727F48" w:rsidRDefault="00727F48" w14:paraId="029E1577" w14:textId="75757247">
            <w:pPr>
              <w:pStyle w:val="CellBody"/>
            </w:pPr>
            <w:r>
              <w:t>“</w:t>
            </w:r>
            <w:r w:rsidRPr="000664FA">
              <w:rPr>
                <w:b/>
                <w:bCs/>
              </w:rPr>
              <w:t>Noteholder</w:t>
            </w:r>
            <w:r>
              <w:t>”</w:t>
            </w:r>
            <w:r w:rsidR="00B21D5B">
              <w:t xml:space="preserve">, </w:t>
            </w:r>
            <w:r>
              <w:rPr>
                <w:b/>
                <w:bCs/>
              </w:rPr>
              <w:t>“</w:t>
            </w:r>
            <w:r w:rsidRPr="005F475D">
              <w:rPr>
                <w:b/>
                <w:bCs/>
              </w:rPr>
              <w:t>Holder</w:t>
            </w:r>
            <w:r w:rsidRPr="00B21D5B">
              <w:t>”</w:t>
            </w:r>
            <w:r w:rsidRPr="00B21D5B" w:rsidR="00B21D5B">
              <w:t xml:space="preserve"> </w:t>
            </w:r>
            <w:r w:rsidR="00B21D5B">
              <w:t xml:space="preserve">or </w:t>
            </w:r>
            <w:r w:rsidRPr="00B21D5B" w:rsidR="00B21D5B">
              <w:t>“</w:t>
            </w:r>
            <w:r w:rsidRPr="00B21D5B" w:rsidR="00B21D5B">
              <w:rPr>
                <w:b/>
                <w:bCs/>
              </w:rPr>
              <w:t>holders of Notes</w:t>
            </w:r>
            <w:r w:rsidRPr="00B21D5B" w:rsidR="00B21D5B">
              <w:t>”</w:t>
            </w:r>
          </w:p>
        </w:tc>
        <w:tc>
          <w:tcPr>
            <w:tcW w:w="5418" w:type="dxa"/>
          </w:tcPr>
          <w:p w:rsidR="00727F48" w:rsidP="00727F48" w:rsidRDefault="00727F48" w14:paraId="05AA2AE9" w14:textId="030F0D29">
            <w:pPr>
              <w:pStyle w:val="CellBody"/>
              <w:jc w:val="both"/>
            </w:pPr>
            <w:r w:rsidRPr="00742DEE">
              <w:t xml:space="preserve">A holder of Notes (including as further defined in the section </w:t>
            </w:r>
            <w:r>
              <w:t>“</w:t>
            </w:r>
            <w:r w:rsidR="00017B5B">
              <w:rPr>
                <w:i/>
              </w:rPr>
              <w:t>General</w:t>
            </w:r>
            <w:r>
              <w:t>”</w:t>
            </w:r>
            <w:r w:rsidRPr="00742DEE">
              <w:t xml:space="preserve"> on page </w:t>
            </w:r>
            <w:r w:rsidR="00963E13">
              <w:t>7</w:t>
            </w:r>
            <w:r w:rsidRPr="00742DEE">
              <w:t>).</w:t>
            </w:r>
          </w:p>
        </w:tc>
      </w:tr>
      <w:tr w:rsidR="00727F48" w:rsidTr="00727F48" w14:paraId="6C0E3FB7" w14:textId="77777777">
        <w:tc>
          <w:tcPr>
            <w:tcW w:w="3626" w:type="dxa"/>
          </w:tcPr>
          <w:p w:rsidR="00727F48" w:rsidP="00727F48" w:rsidRDefault="00727F48" w14:paraId="295CA4D9" w14:textId="79AF2DF6">
            <w:pPr>
              <w:pStyle w:val="CellBody"/>
            </w:pPr>
            <w:r>
              <w:t>“</w:t>
            </w:r>
            <w:r w:rsidRPr="000664FA">
              <w:rPr>
                <w:b/>
                <w:bCs/>
              </w:rPr>
              <w:t>Notes</w:t>
            </w:r>
            <w:r>
              <w:t>”</w:t>
            </w:r>
          </w:p>
        </w:tc>
        <w:tc>
          <w:tcPr>
            <w:tcW w:w="5418" w:type="dxa"/>
          </w:tcPr>
          <w:p w:rsidRPr="00742DEE" w:rsidR="00727F48" w:rsidP="00727F48" w:rsidRDefault="00727F48" w14:paraId="622CCF01" w14:textId="066226FE">
            <w:pPr>
              <w:pStyle w:val="CellBody"/>
              <w:jc w:val="both"/>
            </w:pPr>
            <w:r>
              <w:t xml:space="preserve">As set out on the cover page of this </w:t>
            </w:r>
            <w:r w:rsidR="005C4C34">
              <w:rPr>
                <w:color w:val="000000" w:themeColor="text1"/>
                <w:szCs w:val="26"/>
              </w:rPr>
              <w:t>Tender Offer Memorandum</w:t>
            </w:r>
          </w:p>
        </w:tc>
      </w:tr>
      <w:tr w:rsidR="00727F48" w:rsidTr="00727F48" w14:paraId="563E773B" w14:textId="77777777">
        <w:tc>
          <w:tcPr>
            <w:tcW w:w="3626" w:type="dxa"/>
          </w:tcPr>
          <w:p w:rsidR="00727F48" w:rsidP="00727F48" w:rsidRDefault="00727F48" w14:paraId="45E65FA3" w14:textId="56EE5A8D">
            <w:pPr>
              <w:pStyle w:val="CellBody"/>
            </w:pPr>
            <w:r>
              <w:t>“</w:t>
            </w:r>
            <w:r w:rsidRPr="00134039">
              <w:rPr>
                <w:b/>
                <w:bCs/>
              </w:rPr>
              <w:t>Offeror</w:t>
            </w:r>
            <w:r>
              <w:t>”</w:t>
            </w:r>
            <w:r w:rsidR="00B12329">
              <w:t xml:space="preserve"> </w:t>
            </w:r>
          </w:p>
        </w:tc>
        <w:tc>
          <w:tcPr>
            <w:tcW w:w="5418" w:type="dxa"/>
          </w:tcPr>
          <w:p w:rsidRPr="008A4A3C" w:rsidR="00727F48" w:rsidP="00727F48" w:rsidRDefault="00F73B56" w14:paraId="31EFC3FC" w14:textId="5FFC2D43">
            <w:pPr>
              <w:pStyle w:val="CellBody"/>
              <w:jc w:val="both"/>
            </w:pPr>
            <w:r w:rsidRPr="00F73B56">
              <w:t>DTEK Holdings Limited</w:t>
            </w:r>
          </w:p>
        </w:tc>
      </w:tr>
      <w:tr w:rsidR="00727F48" w:rsidTr="00727F48" w14:paraId="63CDF19A" w14:textId="77777777">
        <w:tc>
          <w:tcPr>
            <w:tcW w:w="3626" w:type="dxa"/>
          </w:tcPr>
          <w:p w:rsidR="00727F48" w:rsidP="00727F48" w:rsidRDefault="00727F48" w14:paraId="101E571B" w14:textId="6EBA9B27">
            <w:pPr>
              <w:pStyle w:val="CellBody"/>
            </w:pPr>
            <w:r>
              <w:t>“</w:t>
            </w:r>
            <w:r w:rsidRPr="00BC7D3D">
              <w:rPr>
                <w:b/>
                <w:bCs/>
              </w:rPr>
              <w:t>Pro-Rated Holders</w:t>
            </w:r>
            <w:r>
              <w:t>”</w:t>
            </w:r>
          </w:p>
        </w:tc>
        <w:tc>
          <w:tcPr>
            <w:tcW w:w="5418" w:type="dxa"/>
          </w:tcPr>
          <w:p w:rsidR="00727F48" w:rsidP="00727F48" w:rsidRDefault="00727F48" w14:paraId="77005BC8" w14:textId="45C99E25">
            <w:pPr>
              <w:pStyle w:val="CellBody"/>
              <w:jc w:val="both"/>
            </w:pPr>
            <w:r>
              <w:t>Has the meaning given to it in the “</w:t>
            </w:r>
            <w:r w:rsidRPr="00831E73" w:rsidR="006A1F4E">
              <w:rPr>
                <w:i/>
                <w:iCs/>
              </w:rPr>
              <w:t>Terms and Conditions of the</w:t>
            </w:r>
            <w:r w:rsidRPr="00831E73" w:rsidR="006A1F4E">
              <w:t xml:space="preserve"> </w:t>
            </w:r>
            <w:r w:rsidRPr="00831E73" w:rsidR="006A1F4E">
              <w:rPr>
                <w:i/>
                <w:iCs/>
              </w:rPr>
              <w:t>Tender Offer</w:t>
            </w:r>
            <w:r w:rsidR="002844CA">
              <w:rPr>
                <w:i/>
                <w:iCs/>
              </w:rPr>
              <w:t xml:space="preserve"> </w:t>
            </w:r>
            <w:r w:rsidRPr="00EE0E9E">
              <w:rPr>
                <w:i/>
                <w:iCs/>
              </w:rPr>
              <w:t>–</w:t>
            </w:r>
            <w:r w:rsidRPr="00BC7D3D">
              <w:rPr>
                <w:i/>
                <w:iCs/>
              </w:rPr>
              <w:t xml:space="preserve">Acceptance of </w:t>
            </w:r>
            <w:r w:rsidRPr="00D07079" w:rsidR="00D07079">
              <w:rPr>
                <w:i/>
                <w:iCs/>
              </w:rPr>
              <w:t>Tender Instructions</w:t>
            </w:r>
            <w:r w:rsidRPr="00BC7D3D">
              <w:rPr>
                <w:i/>
                <w:iCs/>
              </w:rPr>
              <w:t xml:space="preserve"> and Pro-Ration</w:t>
            </w:r>
            <w:r>
              <w:t>”</w:t>
            </w:r>
          </w:p>
        </w:tc>
      </w:tr>
      <w:tr w:rsidR="00727F48" w:rsidTr="00727F48" w14:paraId="367F4757" w14:textId="77777777">
        <w:tc>
          <w:tcPr>
            <w:tcW w:w="3626" w:type="dxa"/>
          </w:tcPr>
          <w:p w:rsidR="00727F48" w:rsidP="00727F48" w:rsidRDefault="00727F48" w14:paraId="2F91AEFC" w14:textId="4BE09B7D">
            <w:pPr>
              <w:pStyle w:val="CellBody"/>
            </w:pPr>
            <w:r>
              <w:t>“</w:t>
            </w:r>
            <w:r w:rsidRPr="00EE0E9E">
              <w:rPr>
                <w:b/>
                <w:bCs/>
              </w:rPr>
              <w:t>Purchase Price</w:t>
            </w:r>
            <w:r>
              <w:t>”</w:t>
            </w:r>
          </w:p>
        </w:tc>
        <w:tc>
          <w:tcPr>
            <w:tcW w:w="5418" w:type="dxa"/>
          </w:tcPr>
          <w:p w:rsidR="00727F48" w:rsidP="00727F48" w:rsidRDefault="00727F48" w14:paraId="02F2C514" w14:textId="62C4BA0C">
            <w:pPr>
              <w:pStyle w:val="CellBody"/>
              <w:jc w:val="both"/>
            </w:pPr>
            <w:r>
              <w:t>Has the meaning given to it in the “</w:t>
            </w:r>
            <w:r w:rsidRPr="00597E9D" w:rsidR="00597E9D">
              <w:rPr>
                <w:i/>
                <w:iCs/>
              </w:rPr>
              <w:t>Summary of</w:t>
            </w:r>
            <w:r w:rsidR="00597E9D">
              <w:t xml:space="preserve"> </w:t>
            </w:r>
            <w:r w:rsidR="00597E9D">
              <w:rPr>
                <w:i/>
                <w:iCs/>
              </w:rPr>
              <w:t xml:space="preserve">the </w:t>
            </w:r>
            <w:r w:rsidR="0032457D">
              <w:rPr>
                <w:i/>
                <w:iCs/>
              </w:rPr>
              <w:t>Tender Offer</w:t>
            </w:r>
            <w:r>
              <w:t>”.</w:t>
            </w:r>
          </w:p>
        </w:tc>
      </w:tr>
      <w:tr w:rsidR="00B307EB" w:rsidTr="00727F48" w14:paraId="0493D4E5" w14:textId="77777777">
        <w:tc>
          <w:tcPr>
            <w:tcW w:w="3626" w:type="dxa"/>
          </w:tcPr>
          <w:p w:rsidR="00B307EB" w:rsidP="00B307EB" w:rsidRDefault="00B307EB" w14:paraId="55D0E7FF" w14:textId="5D1B4175">
            <w:pPr>
              <w:pStyle w:val="CellBody"/>
            </w:pPr>
            <w:r>
              <w:t>“</w:t>
            </w:r>
            <w:r w:rsidRPr="00AC6305">
              <w:rPr>
                <w:b/>
                <w:bCs/>
              </w:rPr>
              <w:t xml:space="preserve">Purchase Price </w:t>
            </w:r>
            <w:r>
              <w:rPr>
                <w:b/>
                <w:bCs/>
              </w:rPr>
              <w:t>Payment</w:t>
            </w:r>
            <w:r>
              <w:t>”</w:t>
            </w:r>
          </w:p>
        </w:tc>
        <w:tc>
          <w:tcPr>
            <w:tcW w:w="5418" w:type="dxa"/>
          </w:tcPr>
          <w:p w:rsidR="00B307EB" w:rsidP="00B307EB" w:rsidRDefault="00B307EB" w14:paraId="4A60F495" w14:textId="2BE12D8E">
            <w:pPr>
              <w:pStyle w:val="CellBody"/>
              <w:jc w:val="both"/>
            </w:pPr>
            <w:r>
              <w:t>Has the meaning given to it in the “</w:t>
            </w:r>
            <w:r w:rsidRPr="00EE0E9E">
              <w:rPr>
                <w:i/>
                <w:iCs/>
              </w:rPr>
              <w:t xml:space="preserve">Terms and Conditions of the </w:t>
            </w:r>
            <w:r w:rsidRPr="005D1189">
              <w:rPr>
                <w:i/>
                <w:iCs/>
              </w:rPr>
              <w:t>Tender</w:t>
            </w:r>
            <w:r>
              <w:t xml:space="preserve"> </w:t>
            </w:r>
            <w:r w:rsidRPr="00EE0E9E">
              <w:rPr>
                <w:i/>
                <w:iCs/>
              </w:rPr>
              <w:t>Offer</w:t>
            </w:r>
            <w:r w:rsidR="002844CA">
              <w:rPr>
                <w:i/>
                <w:iCs/>
              </w:rPr>
              <w:t xml:space="preserve"> </w:t>
            </w:r>
            <w:r w:rsidRPr="00EE0E9E">
              <w:rPr>
                <w:i/>
                <w:iCs/>
              </w:rPr>
              <w:t>–</w:t>
            </w:r>
            <w:r w:rsidRPr="00BC7D3D">
              <w:rPr>
                <w:i/>
                <w:iCs/>
              </w:rPr>
              <w:t>Total Amount Payable to Noteholders</w:t>
            </w:r>
            <w:r>
              <w:t>”</w:t>
            </w:r>
          </w:p>
        </w:tc>
      </w:tr>
      <w:tr w:rsidR="00727F48" w:rsidTr="00727F48" w14:paraId="3407C4CA" w14:textId="77777777">
        <w:tc>
          <w:tcPr>
            <w:tcW w:w="3626" w:type="dxa"/>
          </w:tcPr>
          <w:p w:rsidR="00727F48" w:rsidP="00727F48" w:rsidRDefault="00727F48" w14:paraId="7E3E8489" w14:textId="29154DC1">
            <w:pPr>
              <w:pStyle w:val="CellBody"/>
              <w:rPr>
                <w:b/>
                <w:iCs/>
              </w:rPr>
            </w:pPr>
            <w:r>
              <w:t>“</w:t>
            </w:r>
            <w:r w:rsidRPr="000664FA">
              <w:rPr>
                <w:b/>
                <w:bCs/>
              </w:rPr>
              <w:t>Sanctions Authority</w:t>
            </w:r>
            <w:r>
              <w:t>”</w:t>
            </w:r>
          </w:p>
        </w:tc>
        <w:tc>
          <w:tcPr>
            <w:tcW w:w="5418" w:type="dxa"/>
          </w:tcPr>
          <w:p w:rsidR="00727F48" w:rsidP="00522842" w:rsidRDefault="00727F48" w14:paraId="3154ACD2" w14:textId="3DE6367A">
            <w:pPr>
              <w:pStyle w:val="TableRoman"/>
            </w:pPr>
            <w:r>
              <w:t>the United States of America;</w:t>
            </w:r>
          </w:p>
          <w:p w:rsidR="00727F48" w:rsidP="00522842" w:rsidRDefault="00727F48" w14:paraId="1876C79D" w14:textId="1B48A6FA">
            <w:pPr>
              <w:pStyle w:val="TableRoman"/>
            </w:pPr>
            <w:r>
              <w:t>the United Nations;</w:t>
            </w:r>
          </w:p>
          <w:p w:rsidR="00727F48" w:rsidP="00522842" w:rsidRDefault="00727F48" w14:paraId="1FD484EA" w14:textId="284710E1">
            <w:pPr>
              <w:pStyle w:val="TableRoman"/>
            </w:pPr>
            <w:r>
              <w:t>the European Union;</w:t>
            </w:r>
          </w:p>
          <w:p w:rsidR="00727F48" w:rsidP="00522842" w:rsidRDefault="00727F48" w14:paraId="36FBC54C" w14:textId="03285E68">
            <w:pPr>
              <w:pStyle w:val="TableRoman"/>
            </w:pPr>
            <w:r>
              <w:t>a member of the European Union;</w:t>
            </w:r>
          </w:p>
          <w:p w:rsidRPr="00733B02" w:rsidR="00727F48" w:rsidP="00522842" w:rsidRDefault="00727F48" w14:paraId="73CCC89A" w14:textId="398F02DC">
            <w:pPr>
              <w:pStyle w:val="TableRoman"/>
              <w:rPr>
                <w:lang w:val="it-IT"/>
              </w:rPr>
            </w:pPr>
            <w:r w:rsidRPr="00733B02">
              <w:rPr>
                <w:lang w:val="it-IT"/>
              </w:rPr>
              <w:t>Canada;</w:t>
            </w:r>
          </w:p>
          <w:p w:rsidRPr="00733B02" w:rsidR="00727F48" w:rsidP="00522842" w:rsidRDefault="00727F48" w14:paraId="1238AD8A" w14:textId="3B0C5BC8">
            <w:pPr>
              <w:pStyle w:val="TableRoman"/>
              <w:rPr>
                <w:lang w:val="it-IT"/>
              </w:rPr>
            </w:pPr>
            <w:r w:rsidRPr="00733B02">
              <w:rPr>
                <w:lang w:val="it-IT"/>
              </w:rPr>
              <w:t>Switzerland;</w:t>
            </w:r>
          </w:p>
          <w:p w:rsidRPr="00733B02" w:rsidR="00727F48" w:rsidP="00522842" w:rsidRDefault="00727F48" w14:paraId="236648B2" w14:textId="20C53C73">
            <w:pPr>
              <w:pStyle w:val="TableRoman"/>
              <w:rPr>
                <w:lang w:val="it-IT"/>
              </w:rPr>
            </w:pPr>
            <w:r w:rsidRPr="00733B02">
              <w:rPr>
                <w:lang w:val="it-IT"/>
              </w:rPr>
              <w:t>Ukraine;</w:t>
            </w:r>
          </w:p>
          <w:p w:rsidR="00727F48" w:rsidP="00522842" w:rsidRDefault="00727F48" w14:paraId="25FFAC08" w14:textId="3A21188B">
            <w:pPr>
              <w:pStyle w:val="TableRoman"/>
            </w:pPr>
            <w:r>
              <w:t>the United Kingdom; or</w:t>
            </w:r>
          </w:p>
          <w:p w:rsidR="00727F48" w:rsidP="00522842" w:rsidRDefault="00727F48" w14:paraId="3F6F832A" w14:textId="01E59971">
            <w:pPr>
              <w:pStyle w:val="TableRoman"/>
            </w:pPr>
            <w:r>
              <w:t>the respective governmental or regulatory authority, institution or agency of any of the foregoing including, without limitation, the United Nations Security Council, the Office of Foreign Assets Control of the United States Department of the Treasury, the United States Department of State or Her Majesty’s Treasury of the United Kingdom or any other relevant sanctions authority;</w:t>
            </w:r>
          </w:p>
        </w:tc>
      </w:tr>
      <w:tr w:rsidR="00727F48" w:rsidTr="00727F48" w14:paraId="253287A4" w14:textId="77777777">
        <w:tc>
          <w:tcPr>
            <w:tcW w:w="3626" w:type="dxa"/>
          </w:tcPr>
          <w:p w:rsidR="00727F48" w:rsidP="00727F48" w:rsidRDefault="00727F48" w14:paraId="532BE9E9" w14:textId="1E8A52BB">
            <w:pPr>
              <w:pStyle w:val="CellBody"/>
            </w:pPr>
            <w:r>
              <w:t>“</w:t>
            </w:r>
            <w:r w:rsidRPr="000664FA">
              <w:rPr>
                <w:b/>
                <w:bCs/>
              </w:rPr>
              <w:t>Sanctions Restricted Person</w:t>
            </w:r>
            <w:r>
              <w:t>”</w:t>
            </w:r>
          </w:p>
        </w:tc>
        <w:tc>
          <w:tcPr>
            <w:tcW w:w="5418" w:type="dxa"/>
          </w:tcPr>
          <w:p w:rsidRPr="00742DEE" w:rsidR="00727F48" w:rsidP="00931329" w:rsidRDefault="00727F48" w14:paraId="3B949398" w14:textId="77777777">
            <w:pPr>
              <w:pStyle w:val="CellBody"/>
              <w:jc w:val="both"/>
            </w:pPr>
            <w:r w:rsidRPr="00742DEE">
              <w:t xml:space="preserve">An individual or entity (a </w:t>
            </w:r>
            <w:r>
              <w:t>“</w:t>
            </w:r>
            <w:r w:rsidRPr="00742DEE">
              <w:rPr>
                <w:b/>
              </w:rPr>
              <w:t>Person</w:t>
            </w:r>
            <w:r>
              <w:t>”</w:t>
            </w:r>
            <w:r w:rsidRPr="00742DEE">
              <w:t>):</w:t>
            </w:r>
          </w:p>
          <w:p w:rsidR="00727F48" w:rsidP="00F016B7" w:rsidRDefault="00727F48" w14:paraId="4DEF08E2" w14:textId="0574A034">
            <w:pPr>
              <w:pStyle w:val="TableRoman"/>
              <w:numPr>
                <w:ilvl w:val="0"/>
                <w:numId w:val="66"/>
              </w:numPr>
            </w:pPr>
            <w:r>
              <w:t xml:space="preserve">that is, or is directly or indirectly owned or controlled by a Person that is, described or designated in (a) the most current “Specially Designated Nationals and Blocked Persons” list (which as of the date hereof can be found at: https://www.treasury.gov/ofac/downloads/sdnlist.pdf) or the Foreign Sanctions Evaders List (which as of the date hereof can be found at: https://www.treasury.gov/resource-center/sanctions/SDN-List/Pages/fse_list.aspx) or (b) the most current “Consolidated list of persons, groups and entities subject to EU financial sanctions” (which as of the date hereof can be found at: </w:t>
            </w:r>
            <w:r w:rsidRPr="006E664D">
              <w:t>https://data.</w:t>
            </w:r>
            <w:r>
              <w:t>eur</w:t>
            </w:r>
            <w:r w:rsidRPr="006E664D">
              <w:t>opa.eu/data/datasets/consolidated-list-of-persons-groups-and-entities-subject-to-eu-financial-sanctions?locale=en</w:t>
            </w:r>
            <w:r>
              <w:t>); or</w:t>
            </w:r>
          </w:p>
          <w:p w:rsidR="00727F48" w:rsidP="00931329" w:rsidRDefault="00727F48" w14:paraId="56B97E63" w14:textId="789D655E">
            <w:pPr>
              <w:pStyle w:val="TableRoman"/>
            </w:pPr>
            <w:r>
              <w:lastRenderedPageBreak/>
              <w:t>that is otherwise the subject or target of any sanctions administered or enforced by any Sanctions Authority, including, but not limited to, by virtue of their inclusion in: (</w:t>
            </w:r>
            <w:proofErr w:type="spellStart"/>
            <w:r>
              <w:t>i</w:t>
            </w:r>
            <w:proofErr w:type="spellEnd"/>
            <w:r>
              <w:t>) the most current “Sectoral Sanctions Identifications” list (which as of the date hereof can be found at: http://www.treasury.gov/resource-center/sanctions/SDN-List/Pages/ssi_list.aspx) (the “</w:t>
            </w:r>
            <w:r w:rsidRPr="009740A2">
              <w:rPr>
                <w:b/>
              </w:rPr>
              <w:t>SSI List</w:t>
            </w:r>
            <w:r>
              <w:t>”), (ii) Annexes III, IV, V and VI of Council Regulation No.833/2014, as amended (the “</w:t>
            </w:r>
            <w:r w:rsidRPr="006B45EE">
              <w:rPr>
                <w:b/>
                <w:bCs/>
              </w:rPr>
              <w:t>EU Annexes</w:t>
            </w:r>
            <w:r>
              <w:t xml:space="preserve">”), (iii) </w:t>
            </w:r>
            <w:r w:rsidRPr="00EC6A6D">
              <w:t>Annexes III, IV, V and VI of Council Regulation No 833/2014,</w:t>
            </w:r>
            <w:r>
              <w:t xml:space="preserve"> as amended,</w:t>
            </w:r>
            <w:r w:rsidRPr="00EC6A6D">
              <w:t xml:space="preserve"> as it forms part of retained EU law, as defined in the </w:t>
            </w:r>
            <w:r>
              <w:t xml:space="preserve">European </w:t>
            </w:r>
            <w:r w:rsidRPr="00EC6A6D">
              <w:t xml:space="preserve">Union (Withdrawal) Act 2018 (the </w:t>
            </w:r>
            <w:r>
              <w:t>“</w:t>
            </w:r>
            <w:r w:rsidRPr="00EC6A6D">
              <w:rPr>
                <w:b/>
                <w:bCs/>
              </w:rPr>
              <w:t>UK Annexes</w:t>
            </w:r>
            <w:r>
              <w:t>”</w:t>
            </w:r>
            <w:r w:rsidRPr="00EC6A6D">
              <w:t>)</w:t>
            </w:r>
            <w:r>
              <w:t xml:space="preserve"> or (</w:t>
            </w:r>
            <w:r w:rsidR="00F311E1">
              <w:t>iv</w:t>
            </w:r>
            <w:r>
              <w:t>) any other list maintained by a Sanctions Authority, with similar effect to the SSI List, the EU or UK Annexes.</w:t>
            </w:r>
          </w:p>
        </w:tc>
      </w:tr>
      <w:tr w:rsidR="00727F48" w:rsidTr="00727F48" w14:paraId="6C664368" w14:textId="77777777">
        <w:tc>
          <w:tcPr>
            <w:tcW w:w="3626" w:type="dxa"/>
          </w:tcPr>
          <w:p w:rsidR="00727F48" w:rsidP="00727F48" w:rsidRDefault="00727F48" w14:paraId="27012D01" w14:textId="2A34E5CB">
            <w:pPr>
              <w:pStyle w:val="CellBody"/>
            </w:pPr>
            <w:r>
              <w:lastRenderedPageBreak/>
              <w:t>“</w:t>
            </w:r>
            <w:r w:rsidRPr="00BC7D3D">
              <w:rPr>
                <w:b/>
                <w:bCs/>
              </w:rPr>
              <w:t>Scaling Factor</w:t>
            </w:r>
            <w:r>
              <w:t>”</w:t>
            </w:r>
          </w:p>
        </w:tc>
        <w:tc>
          <w:tcPr>
            <w:tcW w:w="5418" w:type="dxa"/>
          </w:tcPr>
          <w:p w:rsidRPr="00742DEE" w:rsidR="00727F48" w:rsidP="00931329" w:rsidRDefault="00727F48" w14:paraId="73284EDC" w14:textId="39E4EA41">
            <w:pPr>
              <w:pStyle w:val="CellBody"/>
            </w:pPr>
            <w:r>
              <w:t>Has the meaning given to it in the “</w:t>
            </w:r>
            <w:r w:rsidRPr="00831E73" w:rsidR="006A1F4E">
              <w:rPr>
                <w:i/>
                <w:iCs/>
              </w:rPr>
              <w:t>Terms and Conditions of the</w:t>
            </w:r>
            <w:r w:rsidRPr="00831E73" w:rsidR="006A1F4E">
              <w:t xml:space="preserve"> </w:t>
            </w:r>
            <w:r w:rsidRPr="00831E73" w:rsidR="006A1F4E">
              <w:rPr>
                <w:i/>
                <w:iCs/>
              </w:rPr>
              <w:t>Tender Offer</w:t>
            </w:r>
            <w:r w:rsidR="002844CA">
              <w:rPr>
                <w:i/>
                <w:iCs/>
              </w:rPr>
              <w:t xml:space="preserve"> </w:t>
            </w:r>
            <w:r w:rsidRPr="00EE0E9E">
              <w:rPr>
                <w:i/>
                <w:iCs/>
              </w:rPr>
              <w:t>–</w:t>
            </w:r>
            <w:r w:rsidRPr="00BC7D3D">
              <w:rPr>
                <w:i/>
                <w:iCs/>
              </w:rPr>
              <w:t xml:space="preserve">Acceptance of </w:t>
            </w:r>
            <w:r w:rsidRPr="00D07079" w:rsidR="00D07079">
              <w:rPr>
                <w:i/>
                <w:iCs/>
              </w:rPr>
              <w:t>Tender Instructions</w:t>
            </w:r>
            <w:r w:rsidRPr="00BC7D3D">
              <w:rPr>
                <w:i/>
                <w:iCs/>
              </w:rPr>
              <w:t xml:space="preserve"> and Pro-Ration</w:t>
            </w:r>
            <w:r>
              <w:t>”</w:t>
            </w:r>
          </w:p>
        </w:tc>
      </w:tr>
      <w:tr w:rsidR="00805EC4" w:rsidTr="00727F48" w14:paraId="1B4A9F59" w14:textId="77777777">
        <w:tc>
          <w:tcPr>
            <w:tcW w:w="3626" w:type="dxa"/>
          </w:tcPr>
          <w:p w:rsidR="00805EC4" w:rsidP="00805EC4" w:rsidRDefault="00805EC4" w14:paraId="51F65E6A" w14:textId="181C2AF1">
            <w:pPr>
              <w:pStyle w:val="CellBody"/>
            </w:pPr>
            <w:r w:rsidRPr="00805EC4">
              <w:t>“</w:t>
            </w:r>
            <w:r w:rsidRPr="00805EC4">
              <w:rPr>
                <w:b/>
                <w:bCs/>
              </w:rPr>
              <w:t>Settlement Date</w:t>
            </w:r>
            <w:r w:rsidRPr="00805EC4">
              <w:t>”</w:t>
            </w:r>
          </w:p>
        </w:tc>
        <w:tc>
          <w:tcPr>
            <w:tcW w:w="5418" w:type="dxa"/>
          </w:tcPr>
          <w:p w:rsidR="00805EC4" w:rsidP="00805EC4" w:rsidRDefault="00805EC4" w14:paraId="7390F66D" w14:textId="1DEB275F">
            <w:pPr>
              <w:pStyle w:val="CellBody"/>
            </w:pPr>
            <w:r w:rsidRPr="000D3AC4">
              <w:t xml:space="preserve">On or about </w:t>
            </w:r>
            <w:r w:rsidR="001912EE">
              <w:t>1</w:t>
            </w:r>
            <w:r w:rsidR="00431A91">
              <w:t>1</w:t>
            </w:r>
            <w:r w:rsidR="001912EE">
              <w:t xml:space="preserve"> April</w:t>
            </w:r>
            <w:r w:rsidRPr="00034311" w:rsidR="002844CA">
              <w:t xml:space="preserve"> </w:t>
            </w:r>
            <w:r w:rsidRPr="00034311">
              <w:t>202</w:t>
            </w:r>
            <w:r w:rsidRPr="00034311" w:rsidR="002844CA">
              <w:t>3</w:t>
            </w:r>
            <w:r w:rsidRPr="00034311">
              <w:t xml:space="preserve"> (subject to the right of the Offeror </w:t>
            </w:r>
            <w:r w:rsidRPr="00034311" w:rsidR="00CF0942">
              <w:t>to extend, amend and/or terminate</w:t>
            </w:r>
            <w:r w:rsidRPr="00CF0942" w:rsidR="00CF0942">
              <w:t xml:space="preserve"> </w:t>
            </w:r>
            <w:r w:rsidR="00CF0942">
              <w:t>the Tender Offer</w:t>
            </w:r>
            <w:r w:rsidRPr="000D3AC4">
              <w:t>).</w:t>
            </w:r>
          </w:p>
        </w:tc>
      </w:tr>
      <w:tr w:rsidR="00727F48" w:rsidTr="00727F48" w14:paraId="495B8AD3" w14:textId="77777777">
        <w:tc>
          <w:tcPr>
            <w:tcW w:w="3626" w:type="dxa"/>
          </w:tcPr>
          <w:p w:rsidR="00727F48" w:rsidP="00727F48" w:rsidRDefault="00727F48" w14:paraId="255EB94A" w14:textId="57E999D1">
            <w:pPr>
              <w:pStyle w:val="CellBody"/>
            </w:pPr>
            <w:r>
              <w:t>“</w:t>
            </w:r>
            <w:r w:rsidRPr="00BC7D3D">
              <w:rPr>
                <w:b/>
                <w:bCs/>
              </w:rPr>
              <w:t xml:space="preserve">Submitted </w:t>
            </w:r>
            <w:r>
              <w:rPr>
                <w:b/>
                <w:bCs/>
              </w:rPr>
              <w:t xml:space="preserve">Purchase </w:t>
            </w:r>
            <w:r w:rsidRPr="00BC7D3D">
              <w:rPr>
                <w:b/>
                <w:bCs/>
              </w:rPr>
              <w:t>Amount</w:t>
            </w:r>
            <w:r>
              <w:t>”</w:t>
            </w:r>
          </w:p>
        </w:tc>
        <w:tc>
          <w:tcPr>
            <w:tcW w:w="5418" w:type="dxa"/>
          </w:tcPr>
          <w:p w:rsidR="00727F48" w:rsidP="00931329" w:rsidRDefault="00C7057B" w14:paraId="3DF70A86" w14:textId="5E593F63">
            <w:pPr>
              <w:pStyle w:val="CellBody"/>
            </w:pPr>
            <w:r>
              <w:t>T</w:t>
            </w:r>
            <w:r w:rsidRPr="00C7057B">
              <w:t xml:space="preserve">he aggregate principal amount of the Notes, in increments of U.S.$1 (subject to the Minimum Denomination) that </w:t>
            </w:r>
            <w:r w:rsidR="00E75FB7">
              <w:t xml:space="preserve">a </w:t>
            </w:r>
            <w:r w:rsidRPr="00C7057B">
              <w:t>Noteholder is tendering at that Submitted Purchase Price</w:t>
            </w:r>
            <w:r>
              <w:t xml:space="preserve">. </w:t>
            </w:r>
          </w:p>
        </w:tc>
      </w:tr>
      <w:tr w:rsidR="00727F48" w:rsidTr="00727F48" w14:paraId="66E4BD28" w14:textId="77777777">
        <w:tc>
          <w:tcPr>
            <w:tcW w:w="3626" w:type="dxa"/>
          </w:tcPr>
          <w:p w:rsidR="00727F48" w:rsidP="00727F48" w:rsidRDefault="00727F48" w14:paraId="064C8F3F" w14:textId="7039A76E">
            <w:pPr>
              <w:pStyle w:val="CellBody"/>
            </w:pPr>
            <w:r>
              <w:t>“</w:t>
            </w:r>
            <w:r>
              <w:rPr>
                <w:b/>
                <w:bCs/>
              </w:rPr>
              <w:t>Submitted</w:t>
            </w:r>
            <w:r w:rsidRPr="00B86BDA">
              <w:rPr>
                <w:b/>
                <w:bCs/>
              </w:rPr>
              <w:t xml:space="preserve"> </w:t>
            </w:r>
            <w:r w:rsidRPr="00612775">
              <w:rPr>
                <w:b/>
                <w:bCs/>
              </w:rPr>
              <w:t xml:space="preserve">Purchase </w:t>
            </w:r>
            <w:r w:rsidRPr="00B86BDA">
              <w:rPr>
                <w:b/>
                <w:bCs/>
              </w:rPr>
              <w:t>Price</w:t>
            </w:r>
            <w:r>
              <w:t>”</w:t>
            </w:r>
          </w:p>
        </w:tc>
        <w:tc>
          <w:tcPr>
            <w:tcW w:w="5418" w:type="dxa"/>
          </w:tcPr>
          <w:p w:rsidR="00727F48" w:rsidP="00931329" w:rsidRDefault="00727F48" w14:paraId="4220297F" w14:textId="6ED9297C">
            <w:pPr>
              <w:pStyle w:val="CellBody"/>
            </w:pPr>
            <w:r>
              <w:t>The price specified by a Noteholder in increments of U.S.$1 per U.S.$1,000 in principal amount of the Notes which are the subject of a Tender Instruction that such Noteholder would be willing to accept as the Purchase Price in respect of such Notes.</w:t>
            </w:r>
          </w:p>
        </w:tc>
      </w:tr>
      <w:tr w:rsidR="00727F48" w:rsidTr="00727F48" w14:paraId="12A427EE" w14:textId="77777777">
        <w:tc>
          <w:tcPr>
            <w:tcW w:w="3626" w:type="dxa"/>
          </w:tcPr>
          <w:p w:rsidR="00727F48" w:rsidP="00727F48" w:rsidRDefault="00727F48" w14:paraId="296F395C" w14:textId="3A52A633">
            <w:pPr>
              <w:pStyle w:val="CellBody"/>
            </w:pPr>
            <w:r>
              <w:rPr>
                <w:b/>
                <w:bCs/>
              </w:rPr>
              <w:t>“</w:t>
            </w:r>
            <w:r w:rsidR="0027613F">
              <w:rPr>
                <w:b/>
                <w:bCs/>
              </w:rPr>
              <w:t>Tender Agent</w:t>
            </w:r>
            <w:r>
              <w:rPr>
                <w:b/>
                <w:bCs/>
              </w:rPr>
              <w:t>”</w:t>
            </w:r>
          </w:p>
        </w:tc>
        <w:tc>
          <w:tcPr>
            <w:tcW w:w="5418" w:type="dxa"/>
          </w:tcPr>
          <w:p w:rsidR="00727F48" w:rsidP="00931329" w:rsidRDefault="00727F48" w14:paraId="2AF84CB9" w14:textId="2DCD65D2">
            <w:pPr>
              <w:pStyle w:val="CellBody"/>
            </w:pPr>
            <w:r w:rsidRPr="00267FAD">
              <w:t>GLAS Specialist Services Limited</w:t>
            </w:r>
            <w:r>
              <w:t xml:space="preserve">. </w:t>
            </w:r>
          </w:p>
        </w:tc>
      </w:tr>
      <w:tr w:rsidR="00F510C4" w:rsidTr="00727F48" w14:paraId="3F1431B9" w14:textId="77777777">
        <w:tc>
          <w:tcPr>
            <w:tcW w:w="3626" w:type="dxa"/>
          </w:tcPr>
          <w:p w:rsidR="00F510C4" w:rsidP="00F510C4" w:rsidRDefault="00F510C4" w14:paraId="51DE1F2D" w14:textId="41617023">
            <w:pPr>
              <w:pStyle w:val="CellBody"/>
              <w:rPr>
                <w:b/>
                <w:bCs/>
              </w:rPr>
            </w:pPr>
            <w:r>
              <w:t>“</w:t>
            </w:r>
            <w:r w:rsidRPr="00DC018F">
              <w:rPr>
                <w:b/>
                <w:bCs/>
              </w:rPr>
              <w:t xml:space="preserve">Tender </w:t>
            </w:r>
            <w:r>
              <w:rPr>
                <w:b/>
                <w:bCs/>
              </w:rPr>
              <w:t>Instruction</w:t>
            </w:r>
            <w:r>
              <w:t>”</w:t>
            </w:r>
          </w:p>
        </w:tc>
        <w:tc>
          <w:tcPr>
            <w:tcW w:w="5418" w:type="dxa"/>
          </w:tcPr>
          <w:p w:rsidR="00F510C4" w:rsidP="00F510C4" w:rsidRDefault="00F510C4" w14:paraId="515EDB69" w14:textId="26739B28">
            <w:pPr>
              <w:pStyle w:val="CellBody"/>
            </w:pPr>
            <w:r w:rsidRPr="008A4A3C">
              <w:t xml:space="preserve">The electronic tender and blocking instruction in the form specified in the Clearing System Notice for submission by Direct Participants to the </w:t>
            </w:r>
            <w:r w:rsidR="0027613F">
              <w:t>Tender Agent</w:t>
            </w:r>
            <w:r w:rsidRPr="008A4A3C">
              <w:t xml:space="preserve"> via the relevant Clearing System and in accordance with the requirements of such Clearing System by the relevant deadline in order for Noteholders to be able to participate in the</w:t>
            </w:r>
            <w:r>
              <w:t xml:space="preserve"> Tender</w:t>
            </w:r>
            <w:r w:rsidRPr="008A4A3C">
              <w:t xml:space="preserve"> Offer.</w:t>
            </w:r>
          </w:p>
        </w:tc>
      </w:tr>
      <w:tr w:rsidR="00727F48" w:rsidTr="00727F48" w14:paraId="231E7191" w14:textId="77777777">
        <w:tc>
          <w:tcPr>
            <w:tcW w:w="3626" w:type="dxa"/>
          </w:tcPr>
          <w:p w:rsidR="00727F48" w:rsidP="00727F48" w:rsidRDefault="00727F48" w14:paraId="5A1D7F00" w14:textId="61F79E11">
            <w:pPr>
              <w:pStyle w:val="CellBody"/>
              <w:rPr>
                <w:b/>
                <w:bCs/>
              </w:rPr>
            </w:pPr>
            <w:r>
              <w:rPr>
                <w:b/>
                <w:bCs/>
              </w:rPr>
              <w:t>“</w:t>
            </w:r>
            <w:r w:rsidRPr="0011349B">
              <w:rPr>
                <w:b/>
                <w:bCs/>
              </w:rPr>
              <w:t>Tender Offer</w:t>
            </w:r>
            <w:r>
              <w:rPr>
                <w:b/>
                <w:bCs/>
              </w:rPr>
              <w:t>”</w:t>
            </w:r>
          </w:p>
        </w:tc>
        <w:tc>
          <w:tcPr>
            <w:tcW w:w="5418" w:type="dxa"/>
          </w:tcPr>
          <w:p w:rsidRPr="00A71EA2" w:rsidR="00727F48" w:rsidP="00931329" w:rsidRDefault="00D13AE5" w14:paraId="389E11D2" w14:textId="0837F0F5">
            <w:pPr>
              <w:pStyle w:val="CellBody"/>
              <w:rPr>
                <w:iCs/>
                <w:color w:val="000000"/>
                <w:lang w:val="en-US"/>
              </w:rPr>
            </w:pPr>
            <w:r w:rsidRPr="00CB21E9">
              <w:rPr>
                <w:color w:val="000000"/>
                <w:lang w:val="en-US"/>
              </w:rPr>
              <w:t xml:space="preserve">The invitation by </w:t>
            </w:r>
            <w:r w:rsidRPr="00CB21E9" w:rsidR="00CB21E9">
              <w:rPr>
                <w:color w:val="000000"/>
                <w:lang w:val="en-US"/>
              </w:rPr>
              <w:t>the Offeror</w:t>
            </w:r>
            <w:r w:rsidRPr="00CB21E9">
              <w:rPr>
                <w:color w:val="000000"/>
                <w:lang w:val="en-US"/>
              </w:rPr>
              <w:t xml:space="preserve">, on the terms and subject to the conditions set out in this </w:t>
            </w:r>
            <w:r w:rsidR="005C4C34">
              <w:rPr>
                <w:color w:val="000000"/>
                <w:lang w:val="en-US"/>
              </w:rPr>
              <w:t>Tender Offer Memorandum</w:t>
            </w:r>
            <w:r w:rsidRPr="00CB21E9">
              <w:rPr>
                <w:color w:val="000000"/>
                <w:lang w:val="en-US"/>
              </w:rPr>
              <w:t xml:space="preserve">, including the restrictions set out in </w:t>
            </w:r>
            <w:r w:rsidRPr="00CB21E9">
              <w:rPr>
                <w:iCs/>
                <w:color w:val="000000"/>
                <w:lang w:val="en-US"/>
              </w:rPr>
              <w:t>“</w:t>
            </w:r>
            <w:r w:rsidRPr="00CB21E9">
              <w:rPr>
                <w:i/>
                <w:color w:val="000000"/>
                <w:lang w:val="en-US"/>
              </w:rPr>
              <w:t>Offer and Distribution Restrictions</w:t>
            </w:r>
            <w:r w:rsidRPr="00CB21E9">
              <w:rPr>
                <w:iCs/>
                <w:color w:val="000000"/>
                <w:lang w:val="en-US"/>
              </w:rPr>
              <w:t>”</w:t>
            </w:r>
            <w:r w:rsidRPr="00CB21E9" w:rsidR="00CB21E9">
              <w:rPr>
                <w:iCs/>
                <w:color w:val="000000"/>
                <w:lang w:val="en-US"/>
              </w:rPr>
              <w:t xml:space="preserve">, to </w:t>
            </w:r>
            <w:r w:rsidR="00CB21E9">
              <w:rPr>
                <w:iCs/>
                <w:color w:val="000000"/>
                <w:lang w:val="en-US"/>
              </w:rPr>
              <w:t xml:space="preserve">Holders </w:t>
            </w:r>
            <w:r w:rsidR="00A71EA2">
              <w:rPr>
                <w:iCs/>
                <w:color w:val="000000"/>
                <w:lang w:val="en-US"/>
              </w:rPr>
              <w:t xml:space="preserve">to tender their Notes for </w:t>
            </w:r>
            <w:r w:rsidRPr="00A71EA2" w:rsidR="00A71EA2">
              <w:rPr>
                <w:iCs/>
                <w:color w:val="000000"/>
                <w:lang w:val="en-US"/>
              </w:rPr>
              <w:t xml:space="preserve">purchase by the Offeror for cash at prices to be determined pursuant to </w:t>
            </w:r>
            <w:r w:rsidR="00A71EA2">
              <w:rPr>
                <w:iCs/>
                <w:color w:val="000000"/>
                <w:lang w:val="en-US"/>
              </w:rPr>
              <w:t xml:space="preserve">the </w:t>
            </w:r>
            <w:r w:rsidRPr="00A71EA2" w:rsidR="00A71EA2">
              <w:rPr>
                <w:iCs/>
                <w:color w:val="000000"/>
                <w:lang w:val="en-US"/>
              </w:rPr>
              <w:t>Unmodified Dutch Auction Procedure</w:t>
            </w:r>
            <w:r w:rsidR="00511147">
              <w:rPr>
                <w:iCs/>
                <w:color w:val="000000"/>
                <w:lang w:val="en-US"/>
              </w:rPr>
              <w:t xml:space="preserve">. </w:t>
            </w:r>
          </w:p>
        </w:tc>
      </w:tr>
      <w:tr w:rsidR="00727F48" w:rsidTr="00727F48" w14:paraId="3F902F66" w14:textId="77777777">
        <w:tc>
          <w:tcPr>
            <w:tcW w:w="3626" w:type="dxa"/>
          </w:tcPr>
          <w:p w:rsidR="00727F48" w:rsidP="00727F48" w:rsidRDefault="00727F48" w14:paraId="56F45125" w14:textId="28CA692E">
            <w:pPr>
              <w:pStyle w:val="CellBody"/>
              <w:rPr>
                <w:b/>
                <w:bCs/>
              </w:rPr>
            </w:pPr>
            <w:r>
              <w:t>“</w:t>
            </w:r>
            <w:r w:rsidR="005C4C34">
              <w:rPr>
                <w:b/>
                <w:bCs/>
                <w:color w:val="000000" w:themeColor="text1"/>
                <w:szCs w:val="26"/>
              </w:rPr>
              <w:t>Tender Offer Memorandum</w:t>
            </w:r>
            <w:r>
              <w:t>”</w:t>
            </w:r>
          </w:p>
        </w:tc>
        <w:tc>
          <w:tcPr>
            <w:tcW w:w="5418" w:type="dxa"/>
          </w:tcPr>
          <w:p w:rsidR="00727F48" w:rsidP="00931329" w:rsidRDefault="00727F48" w14:paraId="75D9CCBC" w14:textId="2C35B26E">
            <w:pPr>
              <w:pStyle w:val="CellBody"/>
            </w:pPr>
            <w:r w:rsidRPr="008A4A3C">
              <w:t xml:space="preserve">This </w:t>
            </w:r>
            <w:r w:rsidR="005C4C34">
              <w:t>Tender Offer Memorandum</w:t>
            </w:r>
            <w:r w:rsidRPr="008A4A3C">
              <w:t>.</w:t>
            </w:r>
          </w:p>
        </w:tc>
      </w:tr>
      <w:tr w:rsidR="00727F48" w:rsidTr="00727F48" w14:paraId="1DA256AB" w14:textId="77777777">
        <w:tc>
          <w:tcPr>
            <w:tcW w:w="3626" w:type="dxa"/>
          </w:tcPr>
          <w:p w:rsidR="00727F48" w:rsidP="00727F48" w:rsidRDefault="00727F48" w14:paraId="345B85D9" w14:textId="77E3A6A6">
            <w:pPr>
              <w:pStyle w:val="CellBody"/>
            </w:pPr>
            <w:r>
              <w:t>“</w:t>
            </w:r>
            <w:r w:rsidRPr="00BC7D3D">
              <w:rPr>
                <w:b/>
                <w:bCs/>
              </w:rPr>
              <w:t xml:space="preserve">Total </w:t>
            </w:r>
            <w:r w:rsidRPr="005F6AA0">
              <w:rPr>
                <w:b/>
                <w:bCs/>
              </w:rPr>
              <w:t xml:space="preserve">Payment </w:t>
            </w:r>
            <w:r w:rsidRPr="00BC7D3D">
              <w:rPr>
                <w:b/>
                <w:bCs/>
              </w:rPr>
              <w:t>Amount</w:t>
            </w:r>
            <w:r>
              <w:t>”</w:t>
            </w:r>
          </w:p>
        </w:tc>
        <w:tc>
          <w:tcPr>
            <w:tcW w:w="5418" w:type="dxa"/>
          </w:tcPr>
          <w:p w:rsidRPr="008A4A3C" w:rsidR="00727F48" w:rsidP="00931329" w:rsidRDefault="00727F48" w14:paraId="362AA901" w14:textId="1DFB9EA0">
            <w:pPr>
              <w:pStyle w:val="CellBody"/>
            </w:pPr>
            <w:r>
              <w:t>Has the meaning given to it in the “</w:t>
            </w:r>
            <w:r w:rsidRPr="00831E73" w:rsidR="0053684D">
              <w:rPr>
                <w:i/>
                <w:iCs/>
              </w:rPr>
              <w:t>Terms and Conditions of the</w:t>
            </w:r>
            <w:r w:rsidRPr="00831E73" w:rsidR="0053684D">
              <w:t xml:space="preserve"> </w:t>
            </w:r>
            <w:r w:rsidRPr="00831E73" w:rsidR="0053684D">
              <w:rPr>
                <w:i/>
                <w:iCs/>
              </w:rPr>
              <w:t>Tender Offer</w:t>
            </w:r>
            <w:r w:rsidR="002844CA">
              <w:rPr>
                <w:i/>
                <w:iCs/>
              </w:rPr>
              <w:t xml:space="preserve"> </w:t>
            </w:r>
            <w:r w:rsidRPr="00831E73" w:rsidR="00C17EBB">
              <w:rPr>
                <w:i/>
                <w:iCs/>
              </w:rPr>
              <w:t>–</w:t>
            </w:r>
            <w:r w:rsidRPr="00BC7D3D">
              <w:rPr>
                <w:i/>
                <w:iCs/>
              </w:rPr>
              <w:t>Total Amount Payable to Noteholders</w:t>
            </w:r>
            <w:r>
              <w:t>”</w:t>
            </w:r>
          </w:p>
        </w:tc>
      </w:tr>
      <w:tr w:rsidR="00727F48" w:rsidTr="00727F48" w14:paraId="7B89A328" w14:textId="77777777">
        <w:tc>
          <w:tcPr>
            <w:tcW w:w="3626" w:type="dxa"/>
          </w:tcPr>
          <w:p w:rsidR="00727F48" w:rsidP="00727F48" w:rsidRDefault="00727F48" w14:paraId="1D286C0F" w14:textId="6A453F9F">
            <w:pPr>
              <w:pStyle w:val="CellBody"/>
            </w:pPr>
            <w:r>
              <w:t>“</w:t>
            </w:r>
            <w:r w:rsidRPr="00AF3202">
              <w:rPr>
                <w:b/>
                <w:bCs/>
              </w:rPr>
              <w:t>Unmodified Dutch Auction Procedure</w:t>
            </w:r>
            <w:r>
              <w:t>”</w:t>
            </w:r>
          </w:p>
        </w:tc>
        <w:tc>
          <w:tcPr>
            <w:tcW w:w="5418" w:type="dxa"/>
          </w:tcPr>
          <w:p w:rsidR="00727F48" w:rsidP="00931329" w:rsidRDefault="00727F48" w14:paraId="32C64674" w14:textId="131FEACB">
            <w:pPr>
              <w:pStyle w:val="CellBody"/>
            </w:pPr>
            <w:r>
              <w:t>The u</w:t>
            </w:r>
            <w:r w:rsidRPr="00B67AC4">
              <w:t xml:space="preserve">nmodified Dutch </w:t>
            </w:r>
            <w:r>
              <w:t>a</w:t>
            </w:r>
            <w:r w:rsidRPr="00B67AC4">
              <w:t xml:space="preserve">uction </w:t>
            </w:r>
            <w:r>
              <w:t>p</w:t>
            </w:r>
            <w:r w:rsidRPr="00B67AC4">
              <w:t>rocedure</w:t>
            </w:r>
            <w:r>
              <w:t xml:space="preserve"> described in this </w:t>
            </w:r>
            <w:r w:rsidR="005C4C34">
              <w:t>Tender Offer Memorandum</w:t>
            </w:r>
            <w:r>
              <w:t xml:space="preserve"> that will be used to determine the Purchase Price the Offeror will pay to a Holder of the Notes </w:t>
            </w:r>
            <w:r>
              <w:lastRenderedPageBreak/>
              <w:t xml:space="preserve">which are validly tendered and accepted for purchase by the Offeror in accordance with the terms and subject to the conditions set out in this </w:t>
            </w:r>
            <w:r w:rsidR="005C4C34">
              <w:t>Tender Offer Memorandum</w:t>
            </w:r>
            <w:r>
              <w:t>.</w:t>
            </w:r>
          </w:p>
        </w:tc>
      </w:tr>
    </w:tbl>
    <w:p w:rsidRPr="00F0692E" w:rsidR="005003BC" w:rsidP="00E85B4E" w:rsidRDefault="00E85B4E" w14:paraId="2F69D50A" w14:textId="6F3AB5EC">
      <w:pPr>
        <w:pStyle w:val="Head-C"/>
      </w:pPr>
      <w:bookmarkStart w:name="_Toc122976052" w:id="17"/>
      <w:r w:rsidRPr="00E86A60">
        <w:lastRenderedPageBreak/>
        <w:t xml:space="preserve">TERMS AND CONDITIONS OF THE </w:t>
      </w:r>
      <w:r>
        <w:t xml:space="preserve">TENDER </w:t>
      </w:r>
      <w:r w:rsidRPr="00E86A60">
        <w:t>OFFER</w:t>
      </w:r>
      <w:bookmarkEnd w:id="17"/>
      <w:r w:rsidR="00955938">
        <w:t xml:space="preserve"> </w:t>
      </w:r>
    </w:p>
    <w:p w:rsidRPr="00E86A60" w:rsidR="005003BC" w:rsidP="00E85B4E" w:rsidRDefault="005003BC" w14:paraId="0A1E9BD4" w14:textId="67544EDC">
      <w:pPr>
        <w:pStyle w:val="Head"/>
      </w:pPr>
      <w:bookmarkStart w:name="_Toc122976053" w:id="18"/>
      <w:r w:rsidRPr="003423F3">
        <w:rPr>
          <w:szCs w:val="22"/>
        </w:rPr>
        <w:t>Background and Rationale for the Tender Offer</w:t>
      </w:r>
      <w:r w:rsidR="00F44B2C">
        <w:t xml:space="preserve"> </w:t>
      </w:r>
      <w:bookmarkEnd w:id="18"/>
    </w:p>
    <w:p w:rsidRPr="00A93B42" w:rsidR="00A93B42" w:rsidP="00E85B4E" w:rsidRDefault="00846B8C" w14:paraId="2F02BE95" w14:textId="73AA9484">
      <w:pPr>
        <w:pStyle w:val="Body"/>
        <w:rPr>
          <w:i/>
          <w:iCs/>
        </w:rPr>
      </w:pPr>
      <w:r>
        <w:rPr>
          <w:i/>
          <w:iCs/>
        </w:rPr>
        <w:t>The Group’s Operations</w:t>
      </w:r>
    </w:p>
    <w:p w:rsidR="005003BC" w:rsidP="00E85B4E" w:rsidRDefault="005003BC" w14:paraId="534CDA86" w14:textId="32ABFB0F">
      <w:pPr>
        <w:pStyle w:val="Body"/>
      </w:pPr>
      <w:r w:rsidRPr="007B6FCA">
        <w:t xml:space="preserve">On 24 February 2022, </w:t>
      </w:r>
      <w:r>
        <w:t xml:space="preserve">the Russian Federation </w:t>
      </w:r>
      <w:r w:rsidRPr="007B6FCA">
        <w:t xml:space="preserve">commenced </w:t>
      </w:r>
      <w:r w:rsidRPr="00A9796E" w:rsidR="00A9796E">
        <w:t xml:space="preserve">an invasion of Ukraine resulting in a full-scale war </w:t>
      </w:r>
      <w:r w:rsidRPr="007B6FCA">
        <w:t>across the Ukrainian state</w:t>
      </w:r>
      <w:r>
        <w:t xml:space="preserve">, </w:t>
      </w:r>
      <w:r w:rsidRPr="001574BA" w:rsidR="001574BA">
        <w:t xml:space="preserve">which had impact on all areas of the Ukrainian economy </w:t>
      </w:r>
      <w:r>
        <w:t>in response to which the Government of Ukraine declared martial law</w:t>
      </w:r>
      <w:r w:rsidR="008F6FF1">
        <w:t xml:space="preserve"> </w:t>
      </w:r>
      <w:r w:rsidRPr="008F6FF1" w:rsidR="008F6FF1">
        <w:t xml:space="preserve">and the National Bank of Ukraine imposed a moratorium on cross-border payments. On 28 February 2022, the Chamber of Commerce and Industry of Ukraine confirmed that the ongoing hostilities had resulted in the occurrence of a force majeure </w:t>
      </w:r>
      <w:r w:rsidRPr="00C55C84" w:rsidR="008F6FF1">
        <w:t>situation in Ukraine</w:t>
      </w:r>
      <w:r w:rsidRPr="00C55C84">
        <w:t>.</w:t>
      </w:r>
    </w:p>
    <w:p w:rsidRPr="00C55C84" w:rsidR="007337CF" w:rsidP="00E85B4E" w:rsidRDefault="007337CF" w14:paraId="0ACB3410" w14:textId="670C405F">
      <w:pPr>
        <w:pStyle w:val="Body"/>
      </w:pPr>
      <w:r w:rsidRPr="007337CF">
        <w:t>The situation in Ukraine remains very uncertain and volatile. The war continues and, since October 2022, the Group (as defined in the Indenture) and the nation have endured massive missile attacks targeting the entire energy infrastructure of Ukraine. The Group’s assets and operations, continue to face ongoing threats from the increased targeted illegal bombardment of civilian and energy infrastructure across Ukrainian cities, resulting in significant damage to a number of power generation, networks and distribution facilities. As the duration and impact of the war in Ukraine remains unclear at this time, it remains not possible to reliably estimate full severity of the consequences, or their impact on the financial position and results of the Group for future periods.</w:t>
      </w:r>
    </w:p>
    <w:p w:rsidR="00137BD9" w:rsidP="00E85B4E" w:rsidRDefault="005003BC" w14:paraId="5E08F289" w14:textId="5609E7F0">
      <w:pPr>
        <w:pStyle w:val="Body"/>
      </w:pPr>
      <w:r w:rsidRPr="00C55C84">
        <w:t>As a result, the Group has experienced a number of significant challenges and disruptions</w:t>
      </w:r>
      <w:r w:rsidRPr="00C55C84" w:rsidR="00407ED7">
        <w:t xml:space="preserve">, which could have a material impact on the Group’s performance over the following periods and could cause actual results to differ materially from expected and historical results. </w:t>
      </w:r>
      <w:r w:rsidRPr="00C55C84" w:rsidR="00BB642B">
        <w:t xml:space="preserve">Taking into account the uncertainties of the war and restrictions on </w:t>
      </w:r>
      <w:r w:rsidRPr="00C55C84" w:rsidR="00562C82">
        <w:t xml:space="preserve">the </w:t>
      </w:r>
      <w:r w:rsidRPr="00C55C84" w:rsidR="00BB642B">
        <w:t>Group</w:t>
      </w:r>
      <w:r w:rsidRPr="00C55C84" w:rsidR="00562C82">
        <w:t>’s</w:t>
      </w:r>
      <w:r w:rsidRPr="00C55C84" w:rsidR="00BB642B">
        <w:t xml:space="preserve"> export trading, it should </w:t>
      </w:r>
      <w:r w:rsidRPr="00C55C84" w:rsidR="00B63B47">
        <w:t xml:space="preserve">also </w:t>
      </w:r>
      <w:r w:rsidRPr="00C55C84" w:rsidR="00BB642B">
        <w:t xml:space="preserve">be noted that any potential further actions by the National Bank of Ukraine could affect the Group’s future payments under the bonds. </w:t>
      </w:r>
      <w:r w:rsidRPr="00C55C84" w:rsidR="0086599F">
        <w:t xml:space="preserve">In this environment it remains critical that the Group continues to proactively manage its debt maturity </w:t>
      </w:r>
      <w:r w:rsidRPr="00C55C84" w:rsidR="00B2129E">
        <w:t>and repayment</w:t>
      </w:r>
      <w:r w:rsidRPr="00C55C84" w:rsidR="008B30D6">
        <w:t>,</w:t>
      </w:r>
      <w:r w:rsidRPr="00C55C84" w:rsidR="0086599F">
        <w:t xml:space="preserve"> so as to provide for a more stable capital structure</w:t>
      </w:r>
      <w:r w:rsidRPr="00C55C84" w:rsidR="00604E8D">
        <w:t>,</w:t>
      </w:r>
      <w:r w:rsidRPr="00C55C84" w:rsidR="0086599F">
        <w:t xml:space="preserve"> to enable it to protect its assets, operations and employees.</w:t>
      </w:r>
      <w:r w:rsidRPr="0086599F" w:rsidR="0086599F">
        <w:t xml:space="preserve"> </w:t>
      </w:r>
    </w:p>
    <w:p w:rsidRPr="009B776B" w:rsidR="009B776B" w:rsidP="00E85B4E" w:rsidRDefault="009B776B" w14:paraId="00304261" w14:textId="4D94A69E">
      <w:pPr>
        <w:pStyle w:val="Body"/>
        <w:rPr>
          <w:i/>
          <w:iCs/>
        </w:rPr>
      </w:pPr>
      <w:r>
        <w:rPr>
          <w:i/>
          <w:iCs/>
        </w:rPr>
        <w:t>The Completed Discounted Repurchase and the Tender Offer</w:t>
      </w:r>
    </w:p>
    <w:p w:rsidR="006B4921" w:rsidP="00E85B4E" w:rsidRDefault="00511E34" w14:paraId="5855BA24" w14:textId="77777777">
      <w:pPr>
        <w:pStyle w:val="Body"/>
      </w:pPr>
      <w:r w:rsidRPr="00511E34">
        <w:t>As announced</w:t>
      </w:r>
      <w:r>
        <w:t xml:space="preserve"> </w:t>
      </w:r>
      <w:r w:rsidRPr="00511E34">
        <w:t xml:space="preserve">in </w:t>
      </w:r>
      <w:r w:rsidRPr="00466BFC" w:rsidR="00466BFC">
        <w:t>November 2022</w:t>
      </w:r>
      <w:r>
        <w:t>,</w:t>
      </w:r>
      <w:r w:rsidRPr="00511E34">
        <w:t xml:space="preserve"> the </w:t>
      </w:r>
      <w:r w:rsidR="00F51869">
        <w:t>Group</w:t>
      </w:r>
      <w:r w:rsidRPr="00511E34">
        <w:t xml:space="preserve"> has </w:t>
      </w:r>
      <w:r w:rsidR="00F2250A">
        <w:t>completed</w:t>
      </w:r>
      <w:r w:rsidRPr="00511E34" w:rsidR="00F2250A">
        <w:t xml:space="preserve"> </w:t>
      </w:r>
      <w:r w:rsidR="00FD0C9A">
        <w:t xml:space="preserve">a </w:t>
      </w:r>
      <w:r w:rsidRPr="00E335E7" w:rsidR="00E335E7">
        <w:t xml:space="preserve">Discounted </w:t>
      </w:r>
      <w:r w:rsidR="00540A25">
        <w:t>Notes Repurchase</w:t>
      </w:r>
      <w:r w:rsidRPr="00E335E7" w:rsidR="00E335E7">
        <w:t xml:space="preserve"> </w:t>
      </w:r>
      <w:r w:rsidRPr="0086599F" w:rsidR="003128E5">
        <w:t>(as</w:t>
      </w:r>
      <w:r w:rsidR="003128E5">
        <w:t xml:space="preserve"> defined in the Indenture) </w:t>
      </w:r>
      <w:r w:rsidRPr="00246C88" w:rsidR="00246C88">
        <w:t xml:space="preserve">pursuant to Section 3.09(b) of the Indenture </w:t>
      </w:r>
      <w:r w:rsidRPr="00511E34">
        <w:t xml:space="preserve">based on the daily average </w:t>
      </w:r>
      <w:r w:rsidR="0045141D">
        <w:t>excess</w:t>
      </w:r>
      <w:r w:rsidRPr="00511E34" w:rsidR="0045141D">
        <w:t xml:space="preserve"> </w:t>
      </w:r>
      <w:r w:rsidRPr="00511E34">
        <w:t xml:space="preserve">cash of </w:t>
      </w:r>
      <w:r w:rsidRPr="00511E34" w:rsidR="007B7835">
        <w:t>approx</w:t>
      </w:r>
      <w:r w:rsidR="007B7835">
        <w:t>imately</w:t>
      </w:r>
      <w:r w:rsidR="00CB0E39">
        <w:t xml:space="preserve"> </w:t>
      </w:r>
      <w:r w:rsidR="00FB0FB0">
        <w:t>U.S.</w:t>
      </w:r>
      <w:r w:rsidRPr="00511E34">
        <w:t xml:space="preserve">$32.5 million during the first </w:t>
      </w:r>
      <w:r w:rsidR="0045141D">
        <w:t>half</w:t>
      </w:r>
      <w:r w:rsidRPr="00511E34">
        <w:t xml:space="preserve"> of 2022.</w:t>
      </w:r>
      <w:r w:rsidR="007B7835">
        <w:t xml:space="preserve"> </w:t>
      </w:r>
      <w:r w:rsidRPr="00511E34">
        <w:t xml:space="preserve">This </w:t>
      </w:r>
      <w:r w:rsidR="002B468C">
        <w:t>excess cash amount h</w:t>
      </w:r>
      <w:r w:rsidR="0045141D">
        <w:t xml:space="preserve">as </w:t>
      </w:r>
      <w:r w:rsidRPr="00511E34">
        <w:t xml:space="preserve">allowed </w:t>
      </w:r>
      <w:r w:rsidR="00F51869">
        <w:t xml:space="preserve">the Group </w:t>
      </w:r>
      <w:r w:rsidRPr="00511E34">
        <w:t xml:space="preserve">to </w:t>
      </w:r>
      <w:r w:rsidR="002B468C">
        <w:t>repurchase</w:t>
      </w:r>
      <w:r w:rsidRPr="00511E34">
        <w:t xml:space="preserve"> </w:t>
      </w:r>
      <w:r w:rsidRPr="00CB0E39" w:rsidR="00CB0E39">
        <w:t xml:space="preserve">approximately </w:t>
      </w:r>
      <w:r w:rsidRPr="00511E34">
        <w:t xml:space="preserve">$154 million </w:t>
      </w:r>
      <w:r w:rsidR="002B468C">
        <w:t xml:space="preserve">in the </w:t>
      </w:r>
      <w:r w:rsidRPr="00511E34">
        <w:t xml:space="preserve">nominal amount of </w:t>
      </w:r>
      <w:r w:rsidR="00CB0E39">
        <w:t>Notes</w:t>
      </w:r>
      <w:r w:rsidRPr="00511E34">
        <w:t xml:space="preserve">. The concluded </w:t>
      </w:r>
      <w:r w:rsidR="002B468C">
        <w:t>repurchase</w:t>
      </w:r>
      <w:r w:rsidRPr="00511E34" w:rsidR="002B468C">
        <w:t xml:space="preserve"> </w:t>
      </w:r>
      <w:r w:rsidRPr="00511E34">
        <w:t xml:space="preserve">process has also demonstrated </w:t>
      </w:r>
      <w:r w:rsidR="007661B9">
        <w:t xml:space="preserve">that there remained </w:t>
      </w:r>
      <w:r w:rsidRPr="00511E34">
        <w:t xml:space="preserve">significant </w:t>
      </w:r>
      <w:r w:rsidR="007661B9">
        <w:t>unfilled</w:t>
      </w:r>
      <w:r w:rsidRPr="00511E34" w:rsidR="002B468C">
        <w:t xml:space="preserve"> </w:t>
      </w:r>
      <w:r w:rsidR="007661B9">
        <w:t>supply</w:t>
      </w:r>
      <w:r w:rsidRPr="00511E34" w:rsidR="007661B9">
        <w:t xml:space="preserve"> </w:t>
      </w:r>
      <w:r w:rsidRPr="00511E34">
        <w:t xml:space="preserve">from the </w:t>
      </w:r>
      <w:r w:rsidR="00D52482">
        <w:t>holders of the Notes</w:t>
      </w:r>
      <w:r w:rsidRPr="00511E34">
        <w:t>.</w:t>
      </w:r>
      <w:r w:rsidRPr="00C17A79" w:rsidR="00C17A79">
        <w:t xml:space="preserve"> </w:t>
      </w:r>
      <w:r w:rsidR="007727D4">
        <w:t xml:space="preserve">On </w:t>
      </w:r>
      <w:r w:rsidR="009405A7">
        <w:t xml:space="preserve">16 </w:t>
      </w:r>
      <w:r w:rsidR="009845BE">
        <w:t xml:space="preserve">December 2022, the Group also completed a repurchase of </w:t>
      </w:r>
      <w:r w:rsidR="00FB0FB0">
        <w:t>U.S.</w:t>
      </w:r>
      <w:r w:rsidRPr="006C0607" w:rsidR="006C0607">
        <w:t>$80,035,658</w:t>
      </w:r>
      <w:r w:rsidRPr="008C70EF" w:rsidR="008C70EF">
        <w:t xml:space="preserve"> in </w:t>
      </w:r>
      <w:r w:rsidRPr="00F55B57" w:rsidR="00F55B57">
        <w:t xml:space="preserve">the aggregate </w:t>
      </w:r>
      <w:r w:rsidRPr="008C70EF" w:rsidR="008C70EF">
        <w:t>principal amount of Notes</w:t>
      </w:r>
      <w:r w:rsidR="006C0607">
        <w:t xml:space="preserve"> </w:t>
      </w:r>
      <w:r w:rsidR="00797500">
        <w:t xml:space="preserve">pursuant to a </w:t>
      </w:r>
      <w:r w:rsidR="005F138F">
        <w:t>further voluntary</w:t>
      </w:r>
      <w:r w:rsidR="00797500">
        <w:t xml:space="preserve"> unmodified Dutch auction</w:t>
      </w:r>
      <w:r w:rsidR="005F138F">
        <w:t xml:space="preserve"> tender</w:t>
      </w:r>
      <w:r w:rsidR="00797500">
        <w:t xml:space="preserve"> offer </w:t>
      </w:r>
      <w:r w:rsidR="005F138F">
        <w:t>(the “</w:t>
      </w:r>
      <w:r w:rsidRPr="00B14B5C" w:rsidR="005F138F">
        <w:rPr>
          <w:b/>
          <w:bCs/>
        </w:rPr>
        <w:t>Second</w:t>
      </w:r>
      <w:r w:rsidRPr="00B14B5C" w:rsidR="00B14B5C">
        <w:rPr>
          <w:b/>
          <w:bCs/>
        </w:rPr>
        <w:t xml:space="preserve"> Repurchase</w:t>
      </w:r>
      <w:r w:rsidR="00B14B5C">
        <w:t>”).</w:t>
      </w:r>
      <w:r w:rsidR="008E5121">
        <w:t xml:space="preserve"> </w:t>
      </w:r>
    </w:p>
    <w:p w:rsidR="00511E34" w:rsidP="00E85B4E" w:rsidRDefault="00C17A79" w14:paraId="2AC8A363" w14:textId="68325863">
      <w:pPr>
        <w:pStyle w:val="Body"/>
      </w:pPr>
      <w:r w:rsidRPr="00C17A79">
        <w:t xml:space="preserve">The </w:t>
      </w:r>
      <w:r w:rsidR="006B4921">
        <w:t xml:space="preserve">Group’s </w:t>
      </w:r>
      <w:r>
        <w:t>m</w:t>
      </w:r>
      <w:r w:rsidRPr="00C17A79">
        <w:t>anagement ha</w:t>
      </w:r>
      <w:r>
        <w:t xml:space="preserve">s </w:t>
      </w:r>
      <w:r w:rsidR="006B4921">
        <w:t xml:space="preserve">further carefully </w:t>
      </w:r>
      <w:r w:rsidRPr="00C17A79">
        <w:t>analysed current liquidity</w:t>
      </w:r>
      <w:r w:rsidR="00B74DBB">
        <w:t>,</w:t>
      </w:r>
      <w:r w:rsidRPr="00C17A79">
        <w:t xml:space="preserve"> </w:t>
      </w:r>
      <w:r w:rsidR="00685D9D">
        <w:t xml:space="preserve">near-term </w:t>
      </w:r>
      <w:r w:rsidRPr="00C17A79">
        <w:t xml:space="preserve">operational </w:t>
      </w:r>
      <w:r w:rsidR="00685D9D">
        <w:t>need</w:t>
      </w:r>
      <w:r w:rsidRPr="00C17A79" w:rsidR="00685D9D">
        <w:t xml:space="preserve">s </w:t>
      </w:r>
      <w:r>
        <w:t>of the Group</w:t>
      </w:r>
      <w:r w:rsidR="00A93E42">
        <w:t xml:space="preserve"> against its current and forthcoming receipts under accumulated accounts</w:t>
      </w:r>
      <w:r w:rsidR="00BC64A9">
        <w:t xml:space="preserve"> receivable for the past period</w:t>
      </w:r>
      <w:r w:rsidR="00705EA4">
        <w:t xml:space="preserve">, </w:t>
      </w:r>
      <w:r w:rsidRPr="00C17A79">
        <w:t xml:space="preserve">the burden of further payments for the outstanding </w:t>
      </w:r>
      <w:r w:rsidR="00705EA4">
        <w:t>Notes</w:t>
      </w:r>
      <w:r w:rsidRPr="00C17A79">
        <w:t xml:space="preserve">, </w:t>
      </w:r>
      <w:r w:rsidR="004843B0">
        <w:t>multiple</w:t>
      </w:r>
      <w:r w:rsidRPr="00C17A79">
        <w:t xml:space="preserve"> risks and limitations on its trading and expenditures.</w:t>
      </w:r>
      <w:r w:rsidR="0028183F">
        <w:t xml:space="preserve"> </w:t>
      </w:r>
      <w:r w:rsidRPr="007977EB" w:rsidR="007977EB">
        <w:t>Based on the</w:t>
      </w:r>
      <w:r w:rsidR="00255F43">
        <w:t xml:space="preserve">se </w:t>
      </w:r>
      <w:r w:rsidRPr="007977EB" w:rsidR="007977EB">
        <w:t xml:space="preserve">considerations, </w:t>
      </w:r>
      <w:r w:rsidR="003B2435">
        <w:t>management has come to the view that, under the current unforeseen circumstances, war</w:t>
      </w:r>
      <w:r w:rsidR="004E1D31">
        <w:t xml:space="preserve">time, </w:t>
      </w:r>
      <w:r w:rsidR="003B2435">
        <w:t xml:space="preserve">and volatile, inflationary macro-economic environment, it </w:t>
      </w:r>
      <w:r w:rsidR="003D0FAC">
        <w:t>would</w:t>
      </w:r>
      <w:r w:rsidR="003B2435">
        <w:t xml:space="preserve"> be preferrable and economically supportive for the Noteholders and to the Group</w:t>
      </w:r>
      <w:r w:rsidR="00320144">
        <w:t>’s</w:t>
      </w:r>
      <w:r w:rsidR="003B2435">
        <w:t xml:space="preserve"> overall economic results to conduct additional repayments via </w:t>
      </w:r>
      <w:r w:rsidR="005F0C29">
        <w:t xml:space="preserve">an </w:t>
      </w:r>
      <w:r w:rsidR="005A0278">
        <w:t>u</w:t>
      </w:r>
      <w:r w:rsidR="003B2435">
        <w:t>nmodified Dutch Auction mechanism</w:t>
      </w:r>
      <w:r w:rsidR="00A049E0">
        <w:t>. Based on</w:t>
      </w:r>
      <w:r w:rsidR="00285F26">
        <w:t xml:space="preserve"> the</w:t>
      </w:r>
      <w:r w:rsidR="00A049E0">
        <w:t xml:space="preserve"> </w:t>
      </w:r>
      <w:r w:rsidRPr="00285F26" w:rsidR="00285F26">
        <w:t>outlined management analysis and considerations</w:t>
      </w:r>
      <w:r w:rsidR="00473FFC">
        <w:t xml:space="preserve"> and under the current circumstances,</w:t>
      </w:r>
      <w:r w:rsidR="002A70C1">
        <w:t xml:space="preserve"> </w:t>
      </w:r>
      <w:r w:rsidRPr="007977EB" w:rsidR="007977EB">
        <w:t xml:space="preserve">the </w:t>
      </w:r>
      <w:r w:rsidR="00906660">
        <w:t xml:space="preserve">Group supervisory </w:t>
      </w:r>
      <w:r w:rsidR="00AA7769">
        <w:t>b</w:t>
      </w:r>
      <w:r w:rsidRPr="007977EB" w:rsidR="007977EB">
        <w:t xml:space="preserve">oard </w:t>
      </w:r>
      <w:r w:rsidR="00002BE8">
        <w:t>considers</w:t>
      </w:r>
      <w:r w:rsidRPr="007977EB" w:rsidR="007977EB">
        <w:t xml:space="preserve"> </w:t>
      </w:r>
      <w:r w:rsidR="007111C1">
        <w:t>the Tender Offer</w:t>
      </w:r>
      <w:r w:rsidRPr="007977EB" w:rsidR="007977EB">
        <w:t xml:space="preserve"> to</w:t>
      </w:r>
      <w:r w:rsidR="007661B9">
        <w:t xml:space="preserve"> be in the</w:t>
      </w:r>
      <w:r w:rsidRPr="007977EB" w:rsidR="007977EB">
        <w:t xml:space="preserve"> best interest of </w:t>
      </w:r>
      <w:r w:rsidR="008B56E7">
        <w:t xml:space="preserve">the Group </w:t>
      </w:r>
      <w:r w:rsidR="00002BE8">
        <w:t>creditors</w:t>
      </w:r>
      <w:r w:rsidR="00E519FD">
        <w:t xml:space="preserve"> </w:t>
      </w:r>
      <w:r w:rsidRPr="007977EB" w:rsidR="007977EB">
        <w:t>and all stakeholders.</w:t>
      </w:r>
      <w:r w:rsidR="00FD0C9A">
        <w:t xml:space="preserve"> The Tender Offer is structured </w:t>
      </w:r>
      <w:r w:rsidR="00FC3E75">
        <w:t xml:space="preserve">as an unmodified Dutch auction, </w:t>
      </w:r>
      <w:r w:rsidR="00FD0C9A">
        <w:t xml:space="preserve">in a manner identical to the Discounted Notes Repurchase </w:t>
      </w:r>
      <w:r w:rsidR="001C1221">
        <w:t xml:space="preserve">and the Second Repurchase </w:t>
      </w:r>
      <w:r w:rsidR="00FD0C9A">
        <w:t>recently completed by the Group.</w:t>
      </w:r>
    </w:p>
    <w:p w:rsidRPr="003423F3" w:rsidR="005003BC" w:rsidP="00E85B4E" w:rsidRDefault="005003BC" w14:paraId="189C8E4B" w14:textId="77777777">
      <w:pPr>
        <w:pStyle w:val="SubHeadItalicBold"/>
        <w:rPr>
          <w:i w:val="0"/>
          <w:iCs/>
          <w:sz w:val="22"/>
          <w:szCs w:val="22"/>
        </w:rPr>
      </w:pPr>
      <w:r w:rsidRPr="003423F3">
        <w:rPr>
          <w:i w:val="0"/>
          <w:iCs/>
          <w:sz w:val="22"/>
          <w:szCs w:val="22"/>
        </w:rPr>
        <w:lastRenderedPageBreak/>
        <w:t>Purchase Price</w:t>
      </w:r>
    </w:p>
    <w:p w:rsidRPr="00292033" w:rsidR="005003BC" w:rsidP="00E85B4E" w:rsidRDefault="005003BC" w14:paraId="490B8EE4" w14:textId="079C9687">
      <w:pPr>
        <w:pStyle w:val="Body"/>
      </w:pPr>
      <w:r w:rsidRPr="00292033">
        <w:t xml:space="preserve">The price the Offeror will pay for the Notes validly tendered and accepted for purchase by the Offeror pursuant to the Tender Offer will be determined pursuant to </w:t>
      </w:r>
      <w:r w:rsidRPr="00292033" w:rsidR="00384118">
        <w:t>the</w:t>
      </w:r>
      <w:r w:rsidRPr="00292033">
        <w:t xml:space="preserve"> </w:t>
      </w:r>
      <w:r w:rsidRPr="00292033" w:rsidR="00384118">
        <w:t>Unmodified Dutch Auction Procedure</w:t>
      </w:r>
      <w:r w:rsidRPr="00292033">
        <w:t>, as set out below.</w:t>
      </w:r>
    </w:p>
    <w:p w:rsidRPr="00292033" w:rsidR="005003BC" w:rsidP="00E85B4E" w:rsidRDefault="000F506F" w14:paraId="5B758AC8" w14:textId="177360A3">
      <w:pPr>
        <w:pStyle w:val="Body"/>
      </w:pPr>
      <w:r w:rsidRPr="00292033">
        <w:t>Under the Unmodified Dutch Auction Procedure, t</w:t>
      </w:r>
      <w:r w:rsidRPr="00292033" w:rsidR="005003BC">
        <w:t xml:space="preserve">he </w:t>
      </w:r>
      <w:r w:rsidRPr="00292033" w:rsidR="00DE743A">
        <w:t>P</w:t>
      </w:r>
      <w:r w:rsidRPr="00292033" w:rsidR="005003BC">
        <w:t xml:space="preserve">urchase </w:t>
      </w:r>
      <w:r w:rsidRPr="00292033" w:rsidR="00DE743A">
        <w:t>P</w:t>
      </w:r>
      <w:r w:rsidRPr="00292033" w:rsidR="005003BC">
        <w:t xml:space="preserve">rice (specific to each Noteholder) in respect of the Notes validly tendered by a Noteholder and accepted for purchase by the Offeror pursuant to the Tender Offer shall be equal to the Submitted Purchase Price specified by the relevant Noteholder in the relevant Tender Instruction, subject to the Minimum Purchase Price </w:t>
      </w:r>
      <w:r w:rsidRPr="00620872" w:rsidR="00620872">
        <w:t>and the Maximum Acceptance Amount</w:t>
      </w:r>
      <w:r w:rsidRPr="00292033" w:rsidR="005003BC">
        <w:t>, as more fully described below.</w:t>
      </w:r>
    </w:p>
    <w:p w:rsidRPr="00292033" w:rsidR="005003BC" w:rsidP="00E85B4E" w:rsidRDefault="005003BC" w14:paraId="4759FF36" w14:textId="77777777">
      <w:pPr>
        <w:pStyle w:val="Body"/>
        <w:rPr>
          <w:b/>
          <w:bCs/>
        </w:rPr>
      </w:pPr>
      <w:r w:rsidRPr="00292033">
        <w:rPr>
          <w:b/>
          <w:bCs/>
        </w:rPr>
        <w:t>As the Purchase Price applicable to each relevant Noteholder who submits a valid Tender Instruction that is accepted by the Offeror is the price specified by such Noteholder in the relevant Tender Instruction, the Purchase Price payable to each Noteholder will not necessarily be the same.</w:t>
      </w:r>
    </w:p>
    <w:p w:rsidRPr="003423F3" w:rsidR="005003BC" w:rsidP="00E85B4E" w:rsidRDefault="005003BC" w14:paraId="62A08B50" w14:textId="77777777">
      <w:pPr>
        <w:pStyle w:val="SubHeadItalicBold"/>
        <w:rPr>
          <w:i w:val="0"/>
          <w:iCs/>
          <w:sz w:val="22"/>
          <w:szCs w:val="22"/>
        </w:rPr>
      </w:pPr>
      <w:r w:rsidRPr="003423F3">
        <w:rPr>
          <w:i w:val="0"/>
          <w:iCs/>
          <w:sz w:val="22"/>
          <w:szCs w:val="22"/>
        </w:rPr>
        <w:t>Total Amount Payable to Noteholders</w:t>
      </w:r>
    </w:p>
    <w:p w:rsidRPr="00292033" w:rsidR="005003BC" w:rsidP="00E85B4E" w:rsidRDefault="005003BC" w14:paraId="440D6DF4" w14:textId="77777777">
      <w:pPr>
        <w:pStyle w:val="Body"/>
      </w:pPr>
      <w:r w:rsidRPr="00292033">
        <w:t>The total amount that will be due to each Noteholder on the Settlement Date for the Notes accepted for purchase from such Noteholder (the “</w:t>
      </w:r>
      <w:r w:rsidRPr="00292033">
        <w:rPr>
          <w:b/>
          <w:bCs/>
        </w:rPr>
        <w:t>Total Payment Amount</w:t>
      </w:r>
      <w:r w:rsidRPr="00292033">
        <w:t>”) will be an amount (rounded to the nearest U.S.$0.01, with half a cent being rounded upwards) equal to the sum of:</w:t>
      </w:r>
    </w:p>
    <w:p w:rsidRPr="00292033" w:rsidR="005003BC" w:rsidP="00F016B7" w:rsidRDefault="005003BC" w14:paraId="52400713" w14:textId="677AB3AF">
      <w:pPr>
        <w:pStyle w:val="Roman2-i"/>
        <w:numPr>
          <w:ilvl w:val="0"/>
          <w:numId w:val="67"/>
        </w:numPr>
      </w:pPr>
      <w:r w:rsidRPr="00292033">
        <w:t xml:space="preserve">the product of (x) the aggregate principal amount of the Notes of such Noteholder accepted for purchase pursuant to the Tender Offer and (y) the relevant Purchase Price, expressed as a percentage </w:t>
      </w:r>
      <w:r w:rsidRPr="005D735E" w:rsidR="005D735E">
        <w:t xml:space="preserve">of the principal amount of the Notes </w:t>
      </w:r>
      <w:r w:rsidRPr="00292033">
        <w:t>(the “</w:t>
      </w:r>
      <w:r w:rsidRPr="00292033">
        <w:rPr>
          <w:b/>
          <w:bCs/>
        </w:rPr>
        <w:t>Purchase Price Payment</w:t>
      </w:r>
      <w:r w:rsidRPr="00292033">
        <w:t>”); and</w:t>
      </w:r>
    </w:p>
    <w:p w:rsidRPr="00292033" w:rsidR="005003BC" w:rsidP="007C6291" w:rsidRDefault="005003BC" w14:paraId="7D5C5125" w14:textId="2934C80F">
      <w:pPr>
        <w:pStyle w:val="Roman2-i"/>
      </w:pPr>
      <w:r w:rsidRPr="00292033">
        <w:t>the Accrued Interest Payment on such Notes.</w:t>
      </w:r>
    </w:p>
    <w:p w:rsidR="00C0482A" w:rsidP="00C0482A" w:rsidRDefault="005003BC" w14:paraId="39DBFD24" w14:textId="77777777">
      <w:pPr>
        <w:pStyle w:val="Body"/>
      </w:pPr>
      <w:r w:rsidRPr="00292033">
        <w:t>Each Purchase Price will be determined in the manner described in “</w:t>
      </w:r>
      <w:r w:rsidRPr="00292033">
        <w:rPr>
          <w:i/>
          <w:iCs/>
        </w:rPr>
        <w:t>Purchase Price</w:t>
      </w:r>
      <w:r w:rsidRPr="00292033">
        <w:t>” above.</w:t>
      </w:r>
    </w:p>
    <w:p w:rsidRPr="00292033" w:rsidR="00C0482A" w:rsidP="00C0482A" w:rsidRDefault="00C0482A" w14:paraId="4C99AA41" w14:textId="74521FC4">
      <w:pPr>
        <w:pStyle w:val="Body"/>
      </w:pPr>
      <w:r w:rsidRPr="00C0482A">
        <w:t xml:space="preserve">The expected Settlement Date is after the Interest Payment Date falling on 31 </w:t>
      </w:r>
      <w:r>
        <w:t>March</w:t>
      </w:r>
      <w:r w:rsidRPr="00C0482A">
        <w:t xml:space="preserve"> 2023. Accordingly, all Noteholders will receive the interest due and payable on 31 March 2023, and Noteholders who participate in the Tender Offer will additionally </w:t>
      </w:r>
      <w:r w:rsidR="00787C3C">
        <w:t xml:space="preserve">receive </w:t>
      </w:r>
      <w:r w:rsidRPr="00C0482A">
        <w:t>interest in respect of the principal amount of the Notes tendered by them which accrues from (and including) 31 March 2023 to (but excluding) the Settlement Date</w:t>
      </w:r>
      <w:r>
        <w:t>.</w:t>
      </w:r>
    </w:p>
    <w:p w:rsidRPr="00292033" w:rsidR="005003BC" w:rsidP="00E85B4E" w:rsidRDefault="005003BC" w14:paraId="34D56ED0" w14:textId="77777777">
      <w:pPr>
        <w:pStyle w:val="Body"/>
      </w:pPr>
      <w:r w:rsidRPr="00292033">
        <w:t>The determination of the Total Payment Amount by the Offeror will, in the absence of manifest error, be final and binding on the Offeror and the relevant Noteholder.</w:t>
      </w:r>
    </w:p>
    <w:p w:rsidRPr="003423F3" w:rsidR="005003BC" w:rsidP="00DB77B1" w:rsidRDefault="005003BC" w14:paraId="7B08E4B2" w14:textId="77777777">
      <w:pPr>
        <w:pStyle w:val="SubHead"/>
        <w:rPr>
          <w:sz w:val="22"/>
          <w:szCs w:val="22"/>
        </w:rPr>
      </w:pPr>
      <w:r w:rsidRPr="003423F3">
        <w:rPr>
          <w:sz w:val="22"/>
          <w:szCs w:val="22"/>
        </w:rPr>
        <w:t>Maximum Acceptance Amount</w:t>
      </w:r>
    </w:p>
    <w:p w:rsidRPr="00292033" w:rsidR="005003BC" w:rsidP="00DB77B1" w:rsidRDefault="005003BC" w14:paraId="1F3A7747" w14:textId="459B11D6">
      <w:pPr>
        <w:pStyle w:val="Body"/>
      </w:pPr>
      <w:r w:rsidRPr="00292033">
        <w:t xml:space="preserve">The Offeror </w:t>
      </w:r>
      <w:r w:rsidRPr="00D566BB">
        <w:t>proposes to accept for purchase Notes such that the sum of all Purchase Price Payments equals to or is less than U.S.$</w:t>
      </w:r>
      <w:r w:rsidR="006049C6">
        <w:t>30 million</w:t>
      </w:r>
      <w:r w:rsidRPr="00D566BB">
        <w:t xml:space="preserve">, on the terms and subject to the conditions contained in this </w:t>
      </w:r>
      <w:r w:rsidRPr="00D566BB" w:rsidR="005C4C34">
        <w:rPr>
          <w:color w:val="000000" w:themeColor="text1"/>
        </w:rPr>
        <w:t>Tender Offer Memorandum</w:t>
      </w:r>
      <w:r w:rsidRPr="00D566BB">
        <w:t xml:space="preserve">. </w:t>
      </w:r>
      <w:r w:rsidRPr="00D566BB" w:rsidR="00E266AB">
        <w:t xml:space="preserve">The </w:t>
      </w:r>
      <w:r w:rsidRPr="00D566BB" w:rsidR="00575028">
        <w:t>Offeror in its sole and</w:t>
      </w:r>
      <w:r w:rsidRPr="00292033" w:rsidR="00575028">
        <w:t xml:space="preserve"> absolute discretion may elect to increase the Maximum Acceptance Amount. In the event of an increase </w:t>
      </w:r>
      <w:r w:rsidR="00F02FAF">
        <w:t>of</w:t>
      </w:r>
      <w:r w:rsidRPr="00292033" w:rsidR="00F02FAF">
        <w:t xml:space="preserve"> </w:t>
      </w:r>
      <w:r w:rsidRPr="00292033" w:rsidR="00575028">
        <w:t xml:space="preserve">the Maximum Acceptance Amount, the Tender Instructions submitted in the Tender Offer before the announcement of such increase shall continue </w:t>
      </w:r>
      <w:r w:rsidRPr="00292033" w:rsidR="007B06E6">
        <w:t xml:space="preserve">to </w:t>
      </w:r>
      <w:r w:rsidRPr="00292033" w:rsidR="00575028">
        <w:t>be irrevocable</w:t>
      </w:r>
      <w:r w:rsidRPr="00292033" w:rsidR="007B06E6">
        <w:t xml:space="preserve">. </w:t>
      </w:r>
      <w:r w:rsidRPr="005100E0" w:rsidR="00E67E14">
        <w:rPr>
          <w:color w:val="000000"/>
        </w:rPr>
        <w:t>See “</w:t>
      </w:r>
      <w:r w:rsidRPr="00024895" w:rsidR="00024895">
        <w:rPr>
          <w:i/>
          <w:color w:val="000000"/>
        </w:rPr>
        <w:t>Amendment and Termination</w:t>
      </w:r>
      <w:r w:rsidRPr="005100E0" w:rsidR="00E67E14">
        <w:rPr>
          <w:color w:val="000000"/>
        </w:rPr>
        <w:t>”.</w:t>
      </w:r>
    </w:p>
    <w:p w:rsidRPr="003423F3" w:rsidR="005003BC" w:rsidP="00DB77B1" w:rsidRDefault="005003BC" w14:paraId="20FEA6F3" w14:textId="27209105">
      <w:pPr>
        <w:pStyle w:val="SubHead"/>
        <w:rPr>
          <w:sz w:val="22"/>
          <w:szCs w:val="22"/>
        </w:rPr>
      </w:pPr>
      <w:r w:rsidRPr="003423F3">
        <w:rPr>
          <w:sz w:val="22"/>
          <w:szCs w:val="22"/>
        </w:rPr>
        <w:t xml:space="preserve">Submission of </w:t>
      </w:r>
      <w:r w:rsidRPr="003423F3" w:rsidR="009A2658">
        <w:rPr>
          <w:sz w:val="22"/>
          <w:szCs w:val="22"/>
        </w:rPr>
        <w:t>Tender Instruction</w:t>
      </w:r>
      <w:r w:rsidRPr="003423F3">
        <w:rPr>
          <w:sz w:val="22"/>
          <w:szCs w:val="22"/>
        </w:rPr>
        <w:t>s by Noteholders</w:t>
      </w:r>
    </w:p>
    <w:p w:rsidRPr="00292033" w:rsidR="005003BC" w:rsidP="00E85B4E" w:rsidRDefault="005003BC" w14:paraId="64578F0B" w14:textId="3712768B">
      <w:pPr>
        <w:pStyle w:val="Body"/>
      </w:pPr>
      <w:r w:rsidRPr="00292033">
        <w:t xml:space="preserve">In order to participate in, and be eligible to receive the relevant Purchase Price Payment and the Accrued Interest Payment pursuant to the Tender Offer, a Noteholder must validly tender its Notes by delivering, or arranging to have delivered on its behalf, a valid Tender Instruction that is received by the </w:t>
      </w:r>
      <w:r w:rsidR="0027613F">
        <w:t>Tender Agent</w:t>
      </w:r>
      <w:r w:rsidRPr="00292033">
        <w:t xml:space="preserve"> by the Expiration Deadline. See “</w:t>
      </w:r>
      <w:r w:rsidRPr="00292033">
        <w:rPr>
          <w:i/>
          <w:iCs/>
        </w:rPr>
        <w:t>Procedures for Participating in the Tender</w:t>
      </w:r>
      <w:r w:rsidRPr="00292033">
        <w:t xml:space="preserve"> </w:t>
      </w:r>
      <w:r w:rsidRPr="00292033">
        <w:rPr>
          <w:i/>
          <w:iCs/>
        </w:rPr>
        <w:t>Offer</w:t>
      </w:r>
      <w:r w:rsidRPr="00292033">
        <w:t>”.</w:t>
      </w:r>
    </w:p>
    <w:p w:rsidRPr="00292033" w:rsidR="005003BC" w:rsidP="00E85B4E" w:rsidRDefault="00CD2005" w14:paraId="0E177FE0" w14:textId="5B648517">
      <w:pPr>
        <w:pStyle w:val="Body"/>
      </w:pPr>
      <w:r>
        <w:t xml:space="preserve">A </w:t>
      </w:r>
      <w:r w:rsidRPr="00292033" w:rsidR="005003BC">
        <w:t xml:space="preserve">Noteholder may submit one or more Tender Instructions </w:t>
      </w:r>
      <w:r w:rsidRPr="0024666E" w:rsidR="0024666E">
        <w:t xml:space="preserve">in respect of the Notes which such Noteholder holds </w:t>
      </w:r>
      <w:r w:rsidRPr="00292033" w:rsidR="005003BC">
        <w:t xml:space="preserve">prior to the Expiration Deadline, provided that the aggregate principal amount of Notes </w:t>
      </w:r>
      <w:r w:rsidRPr="004732FD" w:rsidR="004732FD">
        <w:t>tendered</w:t>
      </w:r>
      <w:r w:rsidRPr="00292033" w:rsidR="005003BC">
        <w:t xml:space="preserve"> does not </w:t>
      </w:r>
      <w:r w:rsidRPr="00292033" w:rsidR="005003BC">
        <w:lastRenderedPageBreak/>
        <w:t>exceed the aggregate principal amount of Notes which such Noteholder holds. A Tender Instruction must specify:</w:t>
      </w:r>
    </w:p>
    <w:p w:rsidRPr="00292033" w:rsidR="005003BC" w:rsidP="00F016B7" w:rsidRDefault="008013B5" w14:paraId="369176EA" w14:textId="404F1944">
      <w:pPr>
        <w:pStyle w:val="Roman2-i"/>
        <w:numPr>
          <w:ilvl w:val="0"/>
          <w:numId w:val="68"/>
        </w:numPr>
      </w:pPr>
      <w:r>
        <w:t>t</w:t>
      </w:r>
      <w:r w:rsidRPr="00292033">
        <w:t xml:space="preserve">he </w:t>
      </w:r>
      <w:r w:rsidRPr="00292033" w:rsidR="005003BC">
        <w:t>price, in increments of U.S.$1 per U.S.$1,000 in principal amount of the Notes, that is equal to or higher than the Minimum Purchase Price, that such Noteholder would be willing to accept as the Purchase Price in respect of the Notes that are the subject of the particular Tender Instruction(s) (the “</w:t>
      </w:r>
      <w:r w:rsidRPr="00292033" w:rsidR="005003BC">
        <w:rPr>
          <w:b/>
          <w:bCs/>
        </w:rPr>
        <w:t>Submitted Purchase Price</w:t>
      </w:r>
      <w:r w:rsidRPr="00292033" w:rsidR="005003BC">
        <w:t>”);</w:t>
      </w:r>
    </w:p>
    <w:p w:rsidRPr="00292033" w:rsidR="005003BC" w:rsidP="00DB77B1" w:rsidRDefault="005003BC" w14:paraId="058BADE0" w14:textId="7CDFF6C7">
      <w:pPr>
        <w:pStyle w:val="Roman2-i"/>
      </w:pPr>
      <w:r w:rsidRPr="00292033">
        <w:t>the aggregate principal amount of the Notes, in increments of U.S.$1 (subject to the Minimum Denomination) that the relevant Noteholder is tendering at that Submitted Purchase Price (the “</w:t>
      </w:r>
      <w:r w:rsidRPr="00292033">
        <w:rPr>
          <w:b/>
          <w:bCs/>
        </w:rPr>
        <w:t>Submitted Purchase Amount</w:t>
      </w:r>
      <w:r w:rsidRPr="00292033">
        <w:t>”); and</w:t>
      </w:r>
    </w:p>
    <w:p w:rsidRPr="00292033" w:rsidR="005003BC" w:rsidP="00DB77B1" w:rsidRDefault="005003BC" w14:paraId="5A9A2D0F" w14:textId="29E980E8">
      <w:pPr>
        <w:pStyle w:val="Roman2-i"/>
      </w:pPr>
      <w:r w:rsidRPr="00292033">
        <w:t>such other information as is specified in “</w:t>
      </w:r>
      <w:r w:rsidRPr="00292033">
        <w:rPr>
          <w:i/>
          <w:iCs/>
        </w:rPr>
        <w:t>Procedures for Participating in the Tender Offer</w:t>
      </w:r>
      <w:r w:rsidRPr="00292033">
        <w:t>” below.</w:t>
      </w:r>
    </w:p>
    <w:p w:rsidRPr="00292033" w:rsidR="005003BC" w:rsidP="00E85B4E" w:rsidRDefault="005003BC" w14:paraId="67BF8B9D" w14:textId="35892D8E">
      <w:pPr>
        <w:pStyle w:val="Body"/>
      </w:pPr>
      <w:r w:rsidRPr="00292033">
        <w:t>If a Tender Instruction specifies a Submitted Purchase Price that is not in whole increments of U.S.$1 per U.S.$1,000 in principal amount of the Notes, such Submitted Purchase Price will be rounded to the nearest U.S.$1 increment.</w:t>
      </w:r>
    </w:p>
    <w:p w:rsidRPr="00662E23" w:rsidR="005003BC" w:rsidP="00E85B4E" w:rsidRDefault="005003BC" w14:paraId="72B3BA04" w14:textId="77777777">
      <w:pPr>
        <w:pStyle w:val="Body"/>
        <w:rPr>
          <w:b/>
          <w:bCs/>
          <w:i/>
          <w:iCs/>
        </w:rPr>
      </w:pPr>
      <w:r w:rsidRPr="00662E23">
        <w:rPr>
          <w:b/>
          <w:bCs/>
          <w:i/>
          <w:iCs/>
        </w:rPr>
        <w:t>Tender Instructions shall be irrevocable.</w:t>
      </w:r>
    </w:p>
    <w:p w:rsidRPr="003423F3" w:rsidR="005003BC" w:rsidP="00DB77B1" w:rsidRDefault="005003BC" w14:paraId="7938BDFB" w14:textId="65E3EF82">
      <w:pPr>
        <w:pStyle w:val="SubHead"/>
        <w:rPr>
          <w:sz w:val="22"/>
          <w:szCs w:val="22"/>
        </w:rPr>
      </w:pPr>
      <w:r w:rsidRPr="003423F3">
        <w:rPr>
          <w:sz w:val="22"/>
          <w:szCs w:val="22"/>
        </w:rPr>
        <w:t xml:space="preserve">Acceptance of </w:t>
      </w:r>
      <w:r w:rsidRPr="003423F3" w:rsidR="001452CB">
        <w:rPr>
          <w:sz w:val="22"/>
          <w:szCs w:val="22"/>
        </w:rPr>
        <w:t>Tender Instructions</w:t>
      </w:r>
      <w:r w:rsidRPr="003423F3">
        <w:rPr>
          <w:sz w:val="22"/>
          <w:szCs w:val="22"/>
        </w:rPr>
        <w:t xml:space="preserve"> and Pro-Ration</w:t>
      </w:r>
    </w:p>
    <w:p w:rsidRPr="00292033" w:rsidR="005003BC" w:rsidP="00E85B4E" w:rsidRDefault="005003BC" w14:paraId="10DD31B5" w14:textId="0AD9921B">
      <w:pPr>
        <w:pStyle w:val="Body"/>
      </w:pPr>
      <w:r w:rsidRPr="00292033">
        <w:t xml:space="preserve">The Offeror will accept Tender Instructions received by the </w:t>
      </w:r>
      <w:r w:rsidR="0027613F">
        <w:t>Tender Agent</w:t>
      </w:r>
      <w:r w:rsidRPr="00292033">
        <w:t xml:space="preserve"> by the Expiration Deadline, in the order (of the respective Submitted Purchase Price) starting from the lowest Submitted Purchase Price to any higher Submitted Purchase Price, up to and including the Submitted Purchase Price that represents highest price that yields an aggregate amount payable by the Offeror (calculated as the sum of all relevant Purchase Price Payments, subject to pro ration as set out below), in respect of all Tender Instructions with Submitted Purchase Prices at or below such price</w:t>
      </w:r>
      <w:r w:rsidR="00AB1B56">
        <w:t>,</w:t>
      </w:r>
      <w:r w:rsidRPr="00292033">
        <w:t xml:space="preserve"> that </w:t>
      </w:r>
      <w:r w:rsidR="00D47557">
        <w:t>is</w:t>
      </w:r>
      <w:r w:rsidRPr="00292033">
        <w:t xml:space="preserve"> equal to or less than the Maximum Acceptance Amount (such highest price referred to as the “</w:t>
      </w:r>
      <w:r w:rsidRPr="00292033">
        <w:rPr>
          <w:b/>
          <w:bCs/>
        </w:rPr>
        <w:t>Highest Accepted Purchase Price</w:t>
      </w:r>
      <w:r w:rsidRPr="00292033">
        <w:t>”).</w:t>
      </w:r>
    </w:p>
    <w:p w:rsidRPr="00292033" w:rsidR="005003BC" w:rsidP="00E85B4E" w:rsidRDefault="005003BC" w14:paraId="10C8B969" w14:textId="13F2212B">
      <w:pPr>
        <w:pStyle w:val="Body"/>
      </w:pPr>
      <w:r w:rsidRPr="00292033">
        <w:t>If there is at least one Noteholder submitting a Tender Instruction, the Offeror will repurchase the outstanding Notes of each such Noteholder in the Submitted Purchase Amounts at the applicable Purchase Price; provided that if the sum of all Purchase Price Payment</w:t>
      </w:r>
      <w:r w:rsidRPr="00292033" w:rsidR="00FF4FEF">
        <w:t>s</w:t>
      </w:r>
      <w:r w:rsidRPr="00292033">
        <w:t xml:space="preserve"> exceeds the Maximum Acceptance Amount then repurchase of the principal amount of the Notes for those Noteholders whose Submitted Purchase Price equals the Highest Accepted Purchase Price (the “</w:t>
      </w:r>
      <w:r w:rsidRPr="00292033">
        <w:rPr>
          <w:b/>
          <w:bCs/>
        </w:rPr>
        <w:t>Pro-Rated Holders</w:t>
      </w:r>
      <w:r w:rsidRPr="00292033">
        <w:t xml:space="preserve">”) shall be made </w:t>
      </w:r>
      <w:r w:rsidRPr="00292033">
        <w:rPr>
          <w:i/>
          <w:iCs/>
        </w:rPr>
        <w:t>pro rata</w:t>
      </w:r>
      <w:r w:rsidRPr="00292033">
        <w:t xml:space="preserve"> among the Pro-Rated Holders in accordance with the respective Submitted Purchase Amounts submitted by such Pro-Rated Holders and the </w:t>
      </w:r>
      <w:r w:rsidR="0027613F">
        <w:t>Tender Agent</w:t>
      </w:r>
      <w:r w:rsidRPr="00292033">
        <w:t xml:space="preserve"> (in consultation with the Offeror and subject to rounding requirements of the </w:t>
      </w:r>
      <w:r w:rsidR="0027613F">
        <w:t>Tender Agent</w:t>
      </w:r>
      <w:r w:rsidRPr="00292033">
        <w:t xml:space="preserve"> made in its sole discretion) will calculate such pro-ration.</w:t>
      </w:r>
    </w:p>
    <w:p w:rsidRPr="00292033" w:rsidR="005003BC" w:rsidP="00E85B4E" w:rsidRDefault="005003BC" w14:paraId="7F7D9DA6" w14:textId="77777777">
      <w:pPr>
        <w:pStyle w:val="Body"/>
      </w:pPr>
      <w:r w:rsidRPr="00292033">
        <w:t>In the event such pro-ration is required, the Offeror shall announce the factor by which acceptances of the Notes of Pro-Rated Holders will be scaled down (the “</w:t>
      </w:r>
      <w:r w:rsidRPr="00292033">
        <w:rPr>
          <w:b/>
          <w:bCs/>
        </w:rPr>
        <w:t>Scaling Factor</w:t>
      </w:r>
      <w:r w:rsidRPr="00292033">
        <w:t>”). The principal amount of each validly tendered Note accepted for purchase will be determined by multiplying each Noteholder’s tender of the Notes by the Scaling Factor, and rounding the product down to the nearest U.S.$1, subject to Minimum Denomination.</w:t>
      </w:r>
    </w:p>
    <w:p w:rsidR="005003BC" w:rsidP="00E85B4E" w:rsidRDefault="005003BC" w14:paraId="1115E577" w14:textId="3754F0A1">
      <w:pPr>
        <w:pStyle w:val="Body"/>
      </w:pPr>
      <w:r w:rsidRPr="00292033">
        <w:t>If the application of such Scaling Factor and rounding down would result in (</w:t>
      </w:r>
      <w:proofErr w:type="spellStart"/>
      <w:r w:rsidRPr="00292033">
        <w:t>i</w:t>
      </w:r>
      <w:proofErr w:type="spellEnd"/>
      <w:r w:rsidRPr="00292033">
        <w:t xml:space="preserve">) the relevant Noteholder transferring Notes to the Offeror in an aggregate principal amount of less than the Minimum Denomination or (ii) the Notes in an aggregate principal amount of less than the Minimum Denomination being returned to the relevant Noteholder, then the Offeror will, in its sole and absolute discretion, either reject all of the Notes tendered by such Noteholder or accept all of the Notes tendered by such Noteholder </w:t>
      </w:r>
      <w:r w:rsidRPr="00DC79FB" w:rsidR="00DC79FB">
        <w:t>without scaling</w:t>
      </w:r>
      <w:r w:rsidRPr="00292033">
        <w:t>.</w:t>
      </w:r>
    </w:p>
    <w:p w:rsidRPr="003423F3" w:rsidR="005003BC" w:rsidP="007C42CE" w:rsidRDefault="005003BC" w14:paraId="1010B8F6" w14:textId="77777777">
      <w:pPr>
        <w:pStyle w:val="Head"/>
        <w:rPr>
          <w:szCs w:val="22"/>
        </w:rPr>
      </w:pPr>
      <w:bookmarkStart w:name="_Toc122976054" w:id="19"/>
      <w:r w:rsidRPr="003423F3">
        <w:rPr>
          <w:szCs w:val="22"/>
        </w:rPr>
        <w:lastRenderedPageBreak/>
        <w:t>Payment</w:t>
      </w:r>
      <w:bookmarkEnd w:id="19"/>
    </w:p>
    <w:p w:rsidRPr="00292033" w:rsidR="005003BC" w:rsidP="00E85B4E" w:rsidRDefault="005003BC" w14:paraId="6C9467B7" w14:textId="553EEFE7">
      <w:pPr>
        <w:pStyle w:val="Body"/>
      </w:pPr>
      <w:r w:rsidRPr="00292033">
        <w:t>The aggregate amounts payable to Noteholders for such Notes in each Clearing System will be paid</w:t>
      </w:r>
      <w:r w:rsidR="00491386">
        <w:t xml:space="preserve"> by the Offeror</w:t>
      </w:r>
      <w:r w:rsidRPr="00292033">
        <w:t xml:space="preserve">, in immediately available funds, by making the payment to the </w:t>
      </w:r>
      <w:r w:rsidRPr="00D566BB">
        <w:t>Paying Agent</w:t>
      </w:r>
      <w:r w:rsidRPr="00D566BB" w:rsidR="004F4B7B">
        <w:t xml:space="preserve"> </w:t>
      </w:r>
      <w:r w:rsidRPr="00D566BB">
        <w:t>not later than 12:00</w:t>
      </w:r>
      <w:r w:rsidRPr="00D566BB" w:rsidR="000F3BAC">
        <w:t xml:space="preserve"> p.m. (London time)</w:t>
      </w:r>
      <w:r w:rsidRPr="00D566BB">
        <w:t xml:space="preserve"> on the Settlement Date for payment to the cash accounts of the relevant Noteholders</w:t>
      </w:r>
      <w:r w:rsidRPr="00292033">
        <w:t xml:space="preserve"> in such Clearing System (see “</w:t>
      </w:r>
      <w:r w:rsidRPr="00292033">
        <w:rPr>
          <w:i/>
        </w:rPr>
        <w:t xml:space="preserve">Procedures for Participating in the </w:t>
      </w:r>
      <w:r w:rsidRPr="00292033">
        <w:rPr>
          <w:i/>
          <w:iCs/>
        </w:rPr>
        <w:t>Tender</w:t>
      </w:r>
      <w:r w:rsidRPr="00292033">
        <w:t xml:space="preserve"> </w:t>
      </w:r>
      <w:r w:rsidRPr="00292033">
        <w:rPr>
          <w:i/>
        </w:rPr>
        <w:t>Offer</w:t>
      </w:r>
      <w:r w:rsidRPr="00292033">
        <w:t>”). The payment of such aggregate amounts to</w:t>
      </w:r>
      <w:r w:rsidR="008501CC">
        <w:t xml:space="preserve"> </w:t>
      </w:r>
      <w:r w:rsidRPr="00C572B6" w:rsidR="00C572B6">
        <w:t>the Clearing Systems</w:t>
      </w:r>
      <w:r w:rsidRPr="00C572B6" w:rsidDel="00C572B6" w:rsidR="00C572B6">
        <w:t xml:space="preserve"> </w:t>
      </w:r>
      <w:r w:rsidRPr="00CB7673" w:rsidR="00CB7673">
        <w:t xml:space="preserve">by the Paying Agent </w:t>
      </w:r>
      <w:r w:rsidRPr="00292033">
        <w:t>will discharge the obligation of the Offeror to all such Noteholders in respect of the payment of the relevant Total Payment Amounts.</w:t>
      </w:r>
    </w:p>
    <w:p w:rsidRPr="00292033" w:rsidR="005003BC" w:rsidP="00CD4416" w:rsidRDefault="005003BC" w14:paraId="145BDA15" w14:textId="20D16055">
      <w:pPr>
        <w:pStyle w:val="Body"/>
        <w:ind w:left="432"/>
        <w:contextualSpacing/>
        <w:rPr>
          <w:b/>
        </w:rPr>
      </w:pPr>
      <w:r w:rsidRPr="00292033">
        <w:rPr>
          <w:b/>
        </w:rPr>
        <w:t xml:space="preserve">Provided the Offeror makes, or has made on its behalf, full payment of the Total Payment Amounts for all Notes accepted for purchase pursuant to the </w:t>
      </w:r>
      <w:r w:rsidRPr="00292033">
        <w:rPr>
          <w:b/>
          <w:bCs/>
        </w:rPr>
        <w:t>Tender</w:t>
      </w:r>
      <w:r w:rsidRPr="00292033">
        <w:t xml:space="preserve"> </w:t>
      </w:r>
      <w:r w:rsidRPr="00292033">
        <w:rPr>
          <w:b/>
        </w:rPr>
        <w:t xml:space="preserve">Offer to </w:t>
      </w:r>
      <w:r w:rsidR="002C4761">
        <w:rPr>
          <w:b/>
        </w:rPr>
        <w:t xml:space="preserve">the </w:t>
      </w:r>
      <w:r w:rsidRPr="002C4761" w:rsidR="002C4761">
        <w:rPr>
          <w:b/>
        </w:rPr>
        <w:t xml:space="preserve">Paying Agent </w:t>
      </w:r>
      <w:r w:rsidRPr="00292033">
        <w:rPr>
          <w:b/>
        </w:rPr>
        <w:t xml:space="preserve">on or before the Settlement Date, under no circumstances will any additional interest be payable to a Noteholder because of any delay in the transmission of funds from the </w:t>
      </w:r>
      <w:r w:rsidRPr="002C4761" w:rsidR="00756CE4">
        <w:rPr>
          <w:b/>
        </w:rPr>
        <w:t>Paying Agent</w:t>
      </w:r>
      <w:r w:rsidR="008F5272">
        <w:rPr>
          <w:b/>
        </w:rPr>
        <w:t>,</w:t>
      </w:r>
      <w:r w:rsidR="00756CE4">
        <w:rPr>
          <w:b/>
        </w:rPr>
        <w:t xml:space="preserve"> the </w:t>
      </w:r>
      <w:r w:rsidRPr="00292033">
        <w:rPr>
          <w:b/>
        </w:rPr>
        <w:t>relevant Clearing System or any other intermediary with respect to such Notes of that Noteholder.</w:t>
      </w:r>
    </w:p>
    <w:p w:rsidRPr="003423F3" w:rsidR="005003BC" w:rsidP="00CD4416" w:rsidRDefault="005003BC" w14:paraId="4D869A66" w14:textId="77777777">
      <w:pPr>
        <w:pStyle w:val="Head"/>
        <w:ind w:left="432"/>
        <w:contextualSpacing/>
        <w:rPr>
          <w:szCs w:val="22"/>
        </w:rPr>
      </w:pPr>
      <w:bookmarkStart w:name="_Toc122976055" w:id="20"/>
      <w:r w:rsidRPr="003423F3">
        <w:rPr>
          <w:szCs w:val="22"/>
        </w:rPr>
        <w:t>Announcements</w:t>
      </w:r>
      <w:bookmarkEnd w:id="20"/>
    </w:p>
    <w:p w:rsidRPr="00292033" w:rsidR="005003BC" w:rsidP="00E85B4E" w:rsidRDefault="005003BC" w14:paraId="3FDE0994" w14:textId="2B65A7AA">
      <w:pPr>
        <w:pStyle w:val="Body"/>
      </w:pPr>
      <w:r w:rsidRPr="00D566BB">
        <w:t>The Offeror</w:t>
      </w:r>
      <w:r w:rsidRPr="00D566BB" w:rsidR="007B71ED">
        <w:t xml:space="preserve"> </w:t>
      </w:r>
      <w:r w:rsidRPr="00D566BB">
        <w:t>will announce</w:t>
      </w:r>
      <w:r w:rsidRPr="00D566BB" w:rsidR="00ED4E63">
        <w:t xml:space="preserve"> and disseminate to holders through the clearing systems</w:t>
      </w:r>
      <w:r w:rsidRPr="00D566BB">
        <w:t>, on or about</w:t>
      </w:r>
      <w:r w:rsidRPr="00D566BB" w:rsidR="00B40845">
        <w:t xml:space="preserve"> </w:t>
      </w:r>
      <w:r w:rsidR="004530E9">
        <w:t>21 March</w:t>
      </w:r>
      <w:r w:rsidRPr="00D566BB" w:rsidR="00B40845">
        <w:t xml:space="preserve"> </w:t>
      </w:r>
      <w:r w:rsidRPr="00D566BB">
        <w:t>202</w:t>
      </w:r>
      <w:r w:rsidRPr="00D566BB" w:rsidR="00B40845">
        <w:t>3</w:t>
      </w:r>
      <w:r w:rsidRPr="00D566BB" w:rsidR="00081800">
        <w:t>, as applicable</w:t>
      </w:r>
      <w:r w:rsidRPr="00D566BB">
        <w:t>:</w:t>
      </w:r>
    </w:p>
    <w:p w:rsidRPr="00292033" w:rsidR="005003BC" w:rsidP="00F016B7" w:rsidRDefault="005003BC" w14:paraId="44225A64" w14:textId="0282D60F">
      <w:pPr>
        <w:pStyle w:val="Roman2-i"/>
        <w:numPr>
          <w:ilvl w:val="0"/>
          <w:numId w:val="69"/>
        </w:numPr>
      </w:pPr>
      <w:r w:rsidRPr="00292033">
        <w:t>the aggregate principal amount of the Notes which will be accepted for purchase pursuant to the Tender Offer;</w:t>
      </w:r>
    </w:p>
    <w:p w:rsidRPr="00292033" w:rsidR="005003BC" w:rsidP="00B462A0" w:rsidRDefault="005003BC" w14:paraId="74F2902E" w14:textId="7B68FEE5">
      <w:pPr>
        <w:pStyle w:val="Roman2-i"/>
      </w:pPr>
      <w:r w:rsidRPr="00292033">
        <w:t>the sum of all Purchase Price Payments;</w:t>
      </w:r>
    </w:p>
    <w:p w:rsidRPr="00292033" w:rsidR="005003BC" w:rsidP="00B462A0" w:rsidRDefault="005003BC" w14:paraId="3D4C7803" w14:textId="7B5CB4BE">
      <w:pPr>
        <w:pStyle w:val="Roman2-i"/>
      </w:pPr>
      <w:r w:rsidRPr="00292033">
        <w:t>the Scaling Factor, if applicable, for Pro-Rated Holders;</w:t>
      </w:r>
      <w:r w:rsidR="0031092F">
        <w:t xml:space="preserve"> and</w:t>
      </w:r>
    </w:p>
    <w:p w:rsidRPr="00292033" w:rsidR="005003BC" w:rsidP="00B462A0" w:rsidRDefault="005003BC" w14:paraId="39A4E202" w14:textId="1E970C19">
      <w:pPr>
        <w:pStyle w:val="Roman2-i"/>
      </w:pPr>
      <w:r w:rsidRPr="00292033">
        <w:t>the expected date of payment (the “</w:t>
      </w:r>
      <w:r w:rsidRPr="00292033">
        <w:rPr>
          <w:b/>
          <w:bCs/>
        </w:rPr>
        <w:t>Settlement Date</w:t>
      </w:r>
      <w:r w:rsidRPr="00292033">
        <w:t>”).</w:t>
      </w:r>
    </w:p>
    <w:p w:rsidRPr="00292033" w:rsidR="005003BC" w:rsidP="00E85B4E" w:rsidRDefault="003E7D24" w14:paraId="057F352E" w14:textId="7A879F02">
      <w:pPr>
        <w:pStyle w:val="Body"/>
      </w:pPr>
      <w:r w:rsidRPr="003E7D24">
        <w:t xml:space="preserve">Unless stated otherwise, announcements in connection with the Tender Offer will be made by publication through the website of Euronext Dublin and by the delivery of notices to the Clearing Systems for communication to Direct Participants. </w:t>
      </w:r>
      <w:r w:rsidRPr="00292033" w:rsidR="005003BC">
        <w:t xml:space="preserve">Copies of all announcements, notices and press releases can also be obtained from the </w:t>
      </w:r>
      <w:r w:rsidR="0027613F">
        <w:t>Tender Agent</w:t>
      </w:r>
      <w:r w:rsidRPr="00292033" w:rsidR="005003BC">
        <w:t xml:space="preserve">, whose contact details are on the last page of this </w:t>
      </w:r>
      <w:r w:rsidR="005C4C34">
        <w:rPr>
          <w:color w:val="000000" w:themeColor="text1"/>
        </w:rPr>
        <w:t>Tender Offer Memorandum</w:t>
      </w:r>
      <w:r w:rsidRPr="00292033" w:rsidR="005003BC">
        <w:t xml:space="preserve">. Significant delays may be experienced where notices are delivered to the Clearing Systems and Noteholders are urged to contact the </w:t>
      </w:r>
      <w:r w:rsidR="0027613F">
        <w:t>Tender Agent</w:t>
      </w:r>
      <w:r w:rsidRPr="00292033" w:rsidR="005003BC">
        <w:t xml:space="preserve"> for the relevant announcements during the course of the Tender Offer. In addition, Noteholders may contact the </w:t>
      </w:r>
      <w:r w:rsidR="0027613F">
        <w:t>Tender Agent</w:t>
      </w:r>
      <w:r w:rsidRPr="00292033" w:rsidR="005003BC">
        <w:t xml:space="preserve"> for information using the contact details on the last page of this </w:t>
      </w:r>
      <w:r w:rsidR="005C4C34">
        <w:rPr>
          <w:color w:val="000000" w:themeColor="text1"/>
        </w:rPr>
        <w:t>Tender Offer Memorandum</w:t>
      </w:r>
      <w:r w:rsidRPr="00292033" w:rsidR="005003BC">
        <w:t>.</w:t>
      </w:r>
    </w:p>
    <w:p w:rsidRPr="003423F3" w:rsidR="00CC1CDC" w:rsidP="00CC1CDC" w:rsidRDefault="00CC1CDC" w14:paraId="62084EF8" w14:textId="7CDA5BAD">
      <w:pPr>
        <w:pStyle w:val="SubHeadItalicBold"/>
        <w:rPr>
          <w:i w:val="0"/>
          <w:iCs/>
          <w:sz w:val="22"/>
          <w:szCs w:val="22"/>
          <w:lang w:eastAsia="zh-CN"/>
        </w:rPr>
      </w:pPr>
      <w:r w:rsidRPr="003423F3">
        <w:rPr>
          <w:i w:val="0"/>
          <w:iCs/>
          <w:sz w:val="22"/>
          <w:szCs w:val="22"/>
          <w:lang w:eastAsia="zh-CN"/>
        </w:rPr>
        <w:t xml:space="preserve">Conditions of the Tender Offer </w:t>
      </w:r>
    </w:p>
    <w:p w:rsidRPr="000712F2" w:rsidR="00CC1CDC" w:rsidP="00CC1CDC" w:rsidRDefault="00CC1CDC" w14:paraId="73CA652B" w14:textId="0121A4B2">
      <w:pPr>
        <w:pStyle w:val="Body"/>
        <w:rPr>
          <w:color w:val="000000"/>
        </w:rPr>
      </w:pPr>
      <w:r w:rsidRPr="000712F2">
        <w:rPr>
          <w:color w:val="000000"/>
        </w:rPr>
        <w:t>Notwithstanding any other provision of the</w:t>
      </w:r>
      <w:r w:rsidR="00C61B76">
        <w:rPr>
          <w:color w:val="000000"/>
        </w:rPr>
        <w:t xml:space="preserve"> </w:t>
      </w:r>
      <w:r>
        <w:rPr>
          <w:color w:val="000000"/>
        </w:rPr>
        <w:t>Tender Offer</w:t>
      </w:r>
      <w:r w:rsidRPr="000712F2">
        <w:rPr>
          <w:color w:val="000000"/>
        </w:rPr>
        <w:t xml:space="preserve">, and in addition to (and not in limitation of) any of the other </w:t>
      </w:r>
      <w:r>
        <w:rPr>
          <w:color w:val="000000"/>
        </w:rPr>
        <w:t>conditions</w:t>
      </w:r>
      <w:r w:rsidR="00F42031">
        <w:rPr>
          <w:color w:val="000000"/>
        </w:rPr>
        <w:t xml:space="preserve">, </w:t>
      </w:r>
      <w:r>
        <w:rPr>
          <w:color w:val="000000"/>
        </w:rPr>
        <w:t xml:space="preserve">the Offeror’s </w:t>
      </w:r>
      <w:r w:rsidRPr="000712F2">
        <w:rPr>
          <w:color w:val="000000"/>
        </w:rPr>
        <w:t xml:space="preserve">right to extend, amend, waive any condition of and/or terminate </w:t>
      </w:r>
      <w:r>
        <w:rPr>
          <w:color w:val="000000"/>
        </w:rPr>
        <w:t>the Tender Offer</w:t>
      </w:r>
      <w:r w:rsidRPr="000712F2">
        <w:rPr>
          <w:color w:val="000000"/>
        </w:rPr>
        <w:t xml:space="preserve">, subject to applicable law and as provided in this </w:t>
      </w:r>
      <w:r w:rsidR="005C4C34">
        <w:rPr>
          <w:color w:val="000000"/>
        </w:rPr>
        <w:t>Tender Offer Memorandum</w:t>
      </w:r>
      <w:r w:rsidRPr="000712F2">
        <w:rPr>
          <w:color w:val="000000"/>
        </w:rPr>
        <w:t xml:space="preserve">, the </w:t>
      </w:r>
      <w:r w:rsidRPr="007C487A" w:rsidR="007C487A">
        <w:rPr>
          <w:color w:val="000000"/>
        </w:rPr>
        <w:t>Offeror</w:t>
      </w:r>
      <w:r w:rsidRPr="000712F2">
        <w:rPr>
          <w:color w:val="000000"/>
        </w:rPr>
        <w:t xml:space="preserve"> shall not be required to accept for purchase, purchase or pay for, and may delay the acceptance for purchase of, any tendered Notes, and may terminate </w:t>
      </w:r>
      <w:r>
        <w:rPr>
          <w:color w:val="000000"/>
        </w:rPr>
        <w:t>the Tender Offer</w:t>
      </w:r>
      <w:r w:rsidRPr="000712F2">
        <w:rPr>
          <w:color w:val="000000"/>
        </w:rPr>
        <w:t xml:space="preserve">, if, at or prior to the Expiration Deadline, any of the following events or conditions exist or shall occur and remain in effect or shall be determined by the </w:t>
      </w:r>
      <w:r w:rsidR="00DA5EEB">
        <w:rPr>
          <w:color w:val="000000"/>
        </w:rPr>
        <w:t>Offeror</w:t>
      </w:r>
      <w:r w:rsidRPr="000712F2">
        <w:rPr>
          <w:color w:val="000000"/>
        </w:rPr>
        <w:t xml:space="preserve"> in its reasonable judgment to exist or have occurred:</w:t>
      </w:r>
    </w:p>
    <w:p w:rsidRPr="000712F2" w:rsidR="00CC1CDC" w:rsidP="00622101" w:rsidRDefault="00CC1CDC" w14:paraId="36982419" w14:textId="3AD1F8E7">
      <w:pPr>
        <w:pStyle w:val="Body"/>
        <w:numPr>
          <w:ilvl w:val="0"/>
          <w:numId w:val="78"/>
        </w:numPr>
        <w:rPr>
          <w:color w:val="000000"/>
        </w:rPr>
      </w:pPr>
      <w:r w:rsidRPr="000712F2">
        <w:rPr>
          <w:color w:val="000000"/>
        </w:rPr>
        <w:t>there shall have occurred (</w:t>
      </w:r>
      <w:proofErr w:type="spellStart"/>
      <w:r w:rsidRPr="000712F2">
        <w:rPr>
          <w:color w:val="000000"/>
        </w:rPr>
        <w:t>i</w:t>
      </w:r>
      <w:proofErr w:type="spellEnd"/>
      <w:r w:rsidRPr="000712F2">
        <w:rPr>
          <w:color w:val="000000"/>
        </w:rPr>
        <w:t>) any general suspension of trading in, or limitation on prices for, securities in the United States, European Union (</w:t>
      </w:r>
      <w:r w:rsidR="00AE1A3F">
        <w:rPr>
          <w:color w:val="000000"/>
        </w:rPr>
        <w:t xml:space="preserve">the </w:t>
      </w:r>
      <w:r w:rsidR="0003135E">
        <w:rPr>
          <w:color w:val="000000"/>
        </w:rPr>
        <w:t>“</w:t>
      </w:r>
      <w:r w:rsidRPr="00AE1A3F">
        <w:rPr>
          <w:b/>
          <w:bCs/>
          <w:color w:val="000000"/>
        </w:rPr>
        <w:t>EU</w:t>
      </w:r>
      <w:r w:rsidR="00AE1A3F">
        <w:rPr>
          <w:color w:val="000000"/>
        </w:rPr>
        <w:t>”</w:t>
      </w:r>
      <w:r w:rsidRPr="000712F2">
        <w:rPr>
          <w:color w:val="000000"/>
        </w:rPr>
        <w:t xml:space="preserve">) or Ukrainian securities or financial markets, (ii) a material impairment in the trading market for debt, (iii) a declaration of a banking moratorium or any suspension of payments in respect of banks in the United States, any member state of the EU or Ukraine (whether or not mandatory), (iv) any limitation (whether or not mandatory) by any governmental </w:t>
      </w:r>
      <w:r w:rsidRPr="000712F2">
        <w:rPr>
          <w:color w:val="000000"/>
        </w:rPr>
        <w:lastRenderedPageBreak/>
        <w:t xml:space="preserve">authority on, or other event having a reasonable likelihood of affecting, the extension of credit by banks or other lending institutions in the United States, the EU or Ukraine, (v) </w:t>
      </w:r>
      <w:r>
        <w:rPr>
          <w:color w:val="000000"/>
        </w:rPr>
        <w:t>a material escalation or deterioration of the military situation in Ukraine that affects the Group’s business or prospects in a manner not currently anticipated</w:t>
      </w:r>
      <w:r w:rsidRPr="000712F2">
        <w:rPr>
          <w:color w:val="000000"/>
        </w:rPr>
        <w:t>, or (vi) any significant adverse change in the United States, EU or Ukrainian securities or financial markets generally</w:t>
      </w:r>
      <w:r>
        <w:rPr>
          <w:color w:val="000000"/>
        </w:rPr>
        <w:t>;</w:t>
      </w:r>
    </w:p>
    <w:p w:rsidRPr="000712F2" w:rsidR="00CC1CDC" w:rsidP="00622101" w:rsidRDefault="00CC1CDC" w14:paraId="05ADA821" w14:textId="387C6F80">
      <w:pPr>
        <w:pStyle w:val="Body"/>
        <w:numPr>
          <w:ilvl w:val="0"/>
          <w:numId w:val="78"/>
        </w:numPr>
        <w:rPr>
          <w:color w:val="000000"/>
        </w:rPr>
      </w:pPr>
      <w:r w:rsidRPr="000712F2">
        <w:rPr>
          <w:color w:val="000000"/>
        </w:rPr>
        <w:t>there exists</w:t>
      </w:r>
      <w:r>
        <w:rPr>
          <w:color w:val="000000"/>
        </w:rPr>
        <w:t xml:space="preserve">, or have been </w:t>
      </w:r>
      <w:r w:rsidRPr="000712F2">
        <w:rPr>
          <w:color w:val="000000"/>
        </w:rPr>
        <w:t xml:space="preserve">instituted, threatened or be pending </w:t>
      </w:r>
      <w:r>
        <w:rPr>
          <w:color w:val="000000"/>
        </w:rPr>
        <w:t xml:space="preserve">(1) </w:t>
      </w:r>
      <w:r w:rsidRPr="000712F2">
        <w:rPr>
          <w:color w:val="000000"/>
        </w:rPr>
        <w:t>an order, statute, rule, regulation, executive order, stay, decree, judgment or injunction that shall have been enacted, entered, issued, promulgated, enforced or deemed applicable by any court or governmental, regulatory or administrative agency or instrumentality</w:t>
      </w:r>
      <w:r w:rsidR="00A7436F">
        <w:rPr>
          <w:color w:val="000000"/>
        </w:rPr>
        <w:t>,</w:t>
      </w:r>
      <w:r>
        <w:rPr>
          <w:color w:val="000000"/>
        </w:rPr>
        <w:t xml:space="preserve"> (2) </w:t>
      </w:r>
      <w:r w:rsidRPr="000712F2">
        <w:rPr>
          <w:color w:val="000000"/>
        </w:rPr>
        <w:t xml:space="preserve"> any action, proceeding or investigation (whether formal or informal), or there shall have been any material adverse development with respect to any action or proceeding currently instituted, threatened or pending before or by any court, governmental, regulatory or administrative agency or instrumentality, or by any other person that challenges the making of </w:t>
      </w:r>
      <w:r w:rsidR="00C22261">
        <w:rPr>
          <w:color w:val="000000"/>
        </w:rPr>
        <w:t xml:space="preserve">the </w:t>
      </w:r>
      <w:r>
        <w:rPr>
          <w:color w:val="000000"/>
        </w:rPr>
        <w:t>Tender Offer</w:t>
      </w:r>
      <w:r w:rsidRPr="000712F2">
        <w:rPr>
          <w:color w:val="000000"/>
        </w:rPr>
        <w:t xml:space="preserve"> or</w:t>
      </w:r>
      <w:r>
        <w:rPr>
          <w:color w:val="000000"/>
        </w:rPr>
        <w:t xml:space="preserve"> (3) </w:t>
      </w:r>
      <w:r w:rsidRPr="000712F2">
        <w:rPr>
          <w:color w:val="000000"/>
        </w:rPr>
        <w:t xml:space="preserve">any other actual or threatened legal impediment to the </w:t>
      </w:r>
      <w:r>
        <w:rPr>
          <w:color w:val="000000"/>
        </w:rPr>
        <w:t>Tender Offer</w:t>
      </w:r>
      <w:r w:rsidRPr="000712F2">
        <w:rPr>
          <w:color w:val="000000"/>
        </w:rPr>
        <w:t xml:space="preserve"> or any other circumstances that would materially adversely affect the transactions contemplated by the</w:t>
      </w:r>
      <w:r>
        <w:rPr>
          <w:color w:val="000000"/>
        </w:rPr>
        <w:t xml:space="preserve"> Tender Offer</w:t>
      </w:r>
      <w:r w:rsidRPr="000712F2">
        <w:rPr>
          <w:color w:val="000000"/>
        </w:rPr>
        <w:t xml:space="preserve"> or the contemplated benefits of the </w:t>
      </w:r>
      <w:r>
        <w:rPr>
          <w:color w:val="000000"/>
        </w:rPr>
        <w:t>Tender Offer</w:t>
      </w:r>
      <w:r w:rsidRPr="000712F2">
        <w:rPr>
          <w:color w:val="000000"/>
        </w:rPr>
        <w:t xml:space="preserve"> to the </w:t>
      </w:r>
      <w:r>
        <w:rPr>
          <w:color w:val="000000"/>
        </w:rPr>
        <w:t>Group</w:t>
      </w:r>
      <w:r w:rsidRPr="000712F2">
        <w:rPr>
          <w:color w:val="000000"/>
        </w:rPr>
        <w:t>;</w:t>
      </w:r>
    </w:p>
    <w:p w:rsidRPr="000712F2" w:rsidR="00CC1CDC" w:rsidP="00622101" w:rsidRDefault="00CC1CDC" w14:paraId="7217B3AE" w14:textId="199F5711">
      <w:pPr>
        <w:pStyle w:val="Body"/>
        <w:numPr>
          <w:ilvl w:val="0"/>
          <w:numId w:val="78"/>
        </w:numPr>
        <w:rPr>
          <w:color w:val="000000"/>
        </w:rPr>
      </w:pPr>
      <w:r w:rsidRPr="000712F2">
        <w:rPr>
          <w:color w:val="000000"/>
        </w:rPr>
        <w:t xml:space="preserve">any trustee or agent pursuant to any applicable indenture or agreement which governs the Notes, shall have objected in any respect to or taken any action that would be likely, in the </w:t>
      </w:r>
      <w:r>
        <w:rPr>
          <w:color w:val="000000"/>
        </w:rPr>
        <w:t xml:space="preserve">Offeror’s </w:t>
      </w:r>
      <w:r w:rsidRPr="000712F2">
        <w:rPr>
          <w:color w:val="000000"/>
        </w:rPr>
        <w:t xml:space="preserve">reasonable judgment, to </w:t>
      </w:r>
      <w:proofErr w:type="gramStart"/>
      <w:r w:rsidRPr="000712F2">
        <w:rPr>
          <w:color w:val="000000"/>
        </w:rPr>
        <w:t xml:space="preserve">materially and adversely affect the </w:t>
      </w:r>
      <w:r>
        <w:rPr>
          <w:color w:val="000000"/>
        </w:rPr>
        <w:t>Tender Offer</w:t>
      </w:r>
      <w:proofErr w:type="gramEnd"/>
      <w:r w:rsidRPr="000712F2">
        <w:rPr>
          <w:color w:val="000000"/>
        </w:rPr>
        <w:t xml:space="preserve"> or shall have taken any action that challenges the validity or effectiveness of the procedures used by </w:t>
      </w:r>
      <w:r w:rsidRPr="00C50BCA" w:rsidR="00C50BCA">
        <w:rPr>
          <w:color w:val="000000"/>
        </w:rPr>
        <w:t xml:space="preserve">the Offeror </w:t>
      </w:r>
      <w:r w:rsidRPr="000712F2">
        <w:rPr>
          <w:color w:val="000000"/>
        </w:rPr>
        <w:t xml:space="preserve">in making the </w:t>
      </w:r>
      <w:r>
        <w:rPr>
          <w:color w:val="000000"/>
        </w:rPr>
        <w:t>Tender Offer</w:t>
      </w:r>
      <w:r w:rsidRPr="000712F2">
        <w:rPr>
          <w:color w:val="000000"/>
        </w:rPr>
        <w:t xml:space="preserve"> or the acceptance of, or payment for, the Notes tendered pursuant to the </w:t>
      </w:r>
      <w:r>
        <w:rPr>
          <w:color w:val="000000"/>
        </w:rPr>
        <w:t>Tender Offer</w:t>
      </w:r>
      <w:r w:rsidRPr="000712F2">
        <w:rPr>
          <w:color w:val="000000"/>
        </w:rPr>
        <w:t>; or</w:t>
      </w:r>
    </w:p>
    <w:p w:rsidRPr="000712F2" w:rsidR="00CC1CDC" w:rsidP="00622101" w:rsidRDefault="00CC1CDC" w14:paraId="1255152C" w14:textId="4A317088">
      <w:pPr>
        <w:pStyle w:val="Body"/>
        <w:numPr>
          <w:ilvl w:val="0"/>
          <w:numId w:val="78"/>
        </w:numPr>
        <w:rPr>
          <w:color w:val="000000"/>
        </w:rPr>
      </w:pPr>
      <w:r w:rsidRPr="000712F2">
        <w:rPr>
          <w:color w:val="000000"/>
        </w:rPr>
        <w:t xml:space="preserve">there shall have occurred or be likely to occur any development which would, in the judgment of </w:t>
      </w:r>
      <w:r>
        <w:rPr>
          <w:color w:val="000000"/>
        </w:rPr>
        <w:t>the Offeror</w:t>
      </w:r>
      <w:r w:rsidRPr="000712F2">
        <w:rPr>
          <w:color w:val="000000"/>
        </w:rPr>
        <w:t xml:space="preserve">, materially adversely affect </w:t>
      </w:r>
      <w:r>
        <w:rPr>
          <w:color w:val="000000"/>
        </w:rPr>
        <w:t xml:space="preserve">the Group’s </w:t>
      </w:r>
      <w:r w:rsidRPr="000712F2">
        <w:rPr>
          <w:color w:val="000000"/>
        </w:rPr>
        <w:t>business, operations, properties, condition (financial or otherwise), assets, liabilities or prospects.</w:t>
      </w:r>
    </w:p>
    <w:p w:rsidRPr="000712F2" w:rsidR="00CC1CDC" w:rsidP="00CC1CDC" w:rsidRDefault="00CC1CDC" w14:paraId="6519EF4E" w14:textId="2B4CA53B">
      <w:pPr>
        <w:pStyle w:val="Body"/>
        <w:rPr>
          <w:color w:val="000000"/>
        </w:rPr>
      </w:pPr>
      <w:r w:rsidRPr="000712F2">
        <w:rPr>
          <w:color w:val="000000"/>
        </w:rPr>
        <w:t xml:space="preserve">The conditions described above are solely for the benefit of </w:t>
      </w:r>
      <w:r>
        <w:rPr>
          <w:color w:val="000000"/>
        </w:rPr>
        <w:t>the Offeror</w:t>
      </w:r>
      <w:r w:rsidRPr="000712F2">
        <w:rPr>
          <w:color w:val="000000"/>
        </w:rPr>
        <w:t xml:space="preserve">, and may be asserted by </w:t>
      </w:r>
      <w:r>
        <w:rPr>
          <w:color w:val="000000"/>
        </w:rPr>
        <w:t xml:space="preserve">the Offeror </w:t>
      </w:r>
      <w:r w:rsidRPr="000712F2">
        <w:rPr>
          <w:color w:val="000000"/>
        </w:rPr>
        <w:t xml:space="preserve">regardless of the circumstances giving rise to any such condition, and, where possible, may be waived by the </w:t>
      </w:r>
      <w:r w:rsidRPr="006C5393" w:rsidR="006C5393">
        <w:rPr>
          <w:color w:val="000000"/>
        </w:rPr>
        <w:t>Offeror</w:t>
      </w:r>
      <w:r w:rsidRPr="000712F2">
        <w:rPr>
          <w:color w:val="000000"/>
        </w:rPr>
        <w:t xml:space="preserve">, in whole or in part, at any time and from time to time before the Expiration Deadline. Any failure by </w:t>
      </w:r>
      <w:r w:rsidRPr="003677DF" w:rsidR="003677DF">
        <w:rPr>
          <w:color w:val="000000"/>
        </w:rPr>
        <w:t xml:space="preserve">the Offeror </w:t>
      </w:r>
      <w:r w:rsidRPr="000712F2">
        <w:rPr>
          <w:color w:val="000000"/>
        </w:rPr>
        <w:t>at any time to exercise any of its rights will not be deemed a waiver of any other right, and each right will be deemed an ongoing right which may be asserted at any time and from time to time.</w:t>
      </w:r>
    </w:p>
    <w:p w:rsidRPr="00CD4416" w:rsidR="00CC1CDC" w:rsidP="00CC1CDC" w:rsidRDefault="00CC1CDC" w14:paraId="2EFE77A0" w14:textId="02B7E529">
      <w:pPr>
        <w:pStyle w:val="Head"/>
        <w:rPr>
          <w:sz w:val="20"/>
        </w:rPr>
      </w:pPr>
      <w:bookmarkStart w:name="_Toc122976056" w:id="21"/>
      <w:r w:rsidRPr="003423F3">
        <w:rPr>
          <w:szCs w:val="22"/>
        </w:rPr>
        <w:t xml:space="preserve">General </w:t>
      </w:r>
      <w:bookmarkEnd w:id="21"/>
    </w:p>
    <w:p w:rsidRPr="00292033" w:rsidR="00CC1CDC" w:rsidP="00CC1CDC" w:rsidRDefault="00CC1CDC" w14:paraId="73400B5D" w14:textId="58F577D8">
      <w:pPr>
        <w:pStyle w:val="Body"/>
      </w:pPr>
      <w:r w:rsidRPr="00292033">
        <w:t>The Tender Offer will expire at the Expiration Deadline.</w:t>
      </w:r>
    </w:p>
    <w:p w:rsidRPr="00292033" w:rsidR="00CC1CDC" w:rsidP="00CC1CDC" w:rsidRDefault="00CC1CDC" w14:paraId="7B00F19B" w14:textId="3C5D5A35">
      <w:pPr>
        <w:pStyle w:val="Body"/>
      </w:pPr>
      <w:r w:rsidRPr="00292033">
        <w:t>In all cases, the purchase of Notes for cash pursuant to the Tender Offer will only be made after the submission of a valid Tender Instruction in accordance with the procedures described in “</w:t>
      </w:r>
      <w:r w:rsidRPr="00292033">
        <w:rPr>
          <w:i/>
        </w:rPr>
        <w:t xml:space="preserve">Procedures for Participating in the </w:t>
      </w:r>
      <w:r w:rsidRPr="00292033">
        <w:rPr>
          <w:i/>
          <w:iCs/>
        </w:rPr>
        <w:t>Tender</w:t>
      </w:r>
      <w:r w:rsidRPr="00292033">
        <w:t xml:space="preserve"> </w:t>
      </w:r>
      <w:r w:rsidRPr="00292033">
        <w:rPr>
          <w:i/>
        </w:rPr>
        <w:t>Offer</w:t>
      </w:r>
      <w:r w:rsidRPr="00292033">
        <w:t>”, which include the blocking of the Notes tendered in the relevant account in the relevant Clearing System as described in “</w:t>
      </w:r>
      <w:r w:rsidRPr="00292033">
        <w:rPr>
          <w:i/>
        </w:rPr>
        <w:t>Risk Factors and Other Considerations—Restrictions on Transfer of Notes</w:t>
      </w:r>
      <w:r w:rsidRPr="00292033">
        <w:t>”.</w:t>
      </w:r>
    </w:p>
    <w:p w:rsidRPr="00AE2CAC" w:rsidR="00CC1CDC" w:rsidP="00CC1CDC" w:rsidRDefault="00CC1CDC" w14:paraId="6E41CD34" w14:textId="73328C55">
      <w:pPr>
        <w:pStyle w:val="Body"/>
        <w:rPr>
          <w:color w:val="000000"/>
        </w:rPr>
      </w:pPr>
      <w:r w:rsidRPr="00AE2CAC">
        <w:rPr>
          <w:color w:val="000000"/>
        </w:rPr>
        <w:t>The Offeror</w:t>
      </w:r>
      <w:r>
        <w:rPr>
          <w:color w:val="000000"/>
        </w:rPr>
        <w:t xml:space="preserve"> </w:t>
      </w:r>
      <w:r w:rsidR="00F01740">
        <w:rPr>
          <w:color w:val="000000"/>
        </w:rPr>
        <w:t>is</w:t>
      </w:r>
      <w:r w:rsidRPr="00AE2CAC">
        <w:rPr>
          <w:color w:val="000000"/>
        </w:rPr>
        <w:t xml:space="preserve"> not under any obligation to accept any tender of Notes for purchase pursuant to the Tender Offer. Tenders of Notes for purchase may be rejected in the sole and absolute discretion of the Offeror</w:t>
      </w:r>
      <w:r>
        <w:rPr>
          <w:color w:val="000000"/>
        </w:rPr>
        <w:t xml:space="preserve"> </w:t>
      </w:r>
      <w:r w:rsidRPr="00AE2CAC">
        <w:rPr>
          <w:color w:val="000000"/>
        </w:rPr>
        <w:t xml:space="preserve">for any reason and the Offeror </w:t>
      </w:r>
      <w:r w:rsidR="00426F60">
        <w:rPr>
          <w:color w:val="000000"/>
        </w:rPr>
        <w:t>is</w:t>
      </w:r>
      <w:r w:rsidRPr="00AE2CAC">
        <w:rPr>
          <w:color w:val="000000"/>
        </w:rPr>
        <w:t xml:space="preserve"> not under any obligation to Holders to furnish any reason or justification for refusing to accept a tender of Notes for purchase. For example, tenders of </w:t>
      </w:r>
      <w:r w:rsidR="00EB030E">
        <w:rPr>
          <w:color w:val="000000"/>
        </w:rPr>
        <w:t>Notes</w:t>
      </w:r>
      <w:r w:rsidRPr="00AE2CAC">
        <w:rPr>
          <w:color w:val="000000"/>
        </w:rPr>
        <w:t xml:space="preserve"> for purchase may be rejected if the Tender Offer is terminated, if the Tender Offer does not comply with the relevant requirements of a particular jurisdiction or for any other reason.</w:t>
      </w:r>
    </w:p>
    <w:p w:rsidRPr="00292033" w:rsidR="00CC1CDC" w:rsidP="00CC1CDC" w:rsidRDefault="00CC1CDC" w14:paraId="6D6A3481" w14:textId="77777777">
      <w:pPr>
        <w:pStyle w:val="Body"/>
      </w:pPr>
      <w:r w:rsidRPr="009D06F0">
        <w:t xml:space="preserve">The Offeror expressly reserves the right, in its sole and absolute discretion, to delay the acceptance of </w:t>
      </w:r>
      <w:r>
        <w:t>Notes</w:t>
      </w:r>
      <w:r w:rsidRPr="009D06F0">
        <w:t xml:space="preserve"> </w:t>
      </w:r>
      <w:r>
        <w:t>tendered</w:t>
      </w:r>
      <w:r w:rsidRPr="009D06F0">
        <w:t xml:space="preserve"> pursuant to the </w:t>
      </w:r>
      <w:r>
        <w:t>Tender Offer</w:t>
      </w:r>
      <w:r w:rsidRPr="009D06F0">
        <w:t xml:space="preserve"> in order to comply with applicable laws. Notwithstanding the foregoing, </w:t>
      </w:r>
      <w:r>
        <w:lastRenderedPageBreak/>
        <w:t>t</w:t>
      </w:r>
      <w:r w:rsidRPr="00292033">
        <w:t>he Offeror will at all times have the discretion to accept for purchase any Notes tendered in the Tender Offer, the tender of which would otherwise be invalid or, in the sole opinion of the Offeror, may otherwise be invalid.</w:t>
      </w:r>
    </w:p>
    <w:p w:rsidRPr="00292033" w:rsidR="00CC1CDC" w:rsidP="00CC1CDC" w:rsidRDefault="00CC1CDC" w14:paraId="1E6D395E" w14:textId="77777777">
      <w:pPr>
        <w:pStyle w:val="Body"/>
        <w:rPr>
          <w:b/>
          <w:bCs/>
          <w:i/>
          <w:iCs/>
        </w:rPr>
      </w:pPr>
      <w:r w:rsidRPr="00292033">
        <w:t>Notes that are not successfully tendered for purchase pursuant to the Tender Offer will remain outstanding.</w:t>
      </w:r>
    </w:p>
    <w:p w:rsidRPr="00292033" w:rsidR="00CC1CDC" w:rsidP="00CC1CDC" w:rsidRDefault="00CC1CDC" w14:paraId="5F3E9267" w14:textId="573F7B06">
      <w:pPr>
        <w:pStyle w:val="Body"/>
      </w:pPr>
      <w:r w:rsidRPr="00292033">
        <w:t xml:space="preserve">The failure of any person to receive a copy of this </w:t>
      </w:r>
      <w:r w:rsidR="005C4C34">
        <w:rPr>
          <w:color w:val="000000" w:themeColor="text1"/>
        </w:rPr>
        <w:t>Tender Offer Memorandum</w:t>
      </w:r>
      <w:r w:rsidRPr="00292033">
        <w:t xml:space="preserve"> or any announcement made or notice issued in connection with the Tender Offer will not invalidate any aspect of the Tender Offer. No acknowledgement of receipt of any Tender Instruction</w:t>
      </w:r>
      <w:r w:rsidRPr="001F1AD9" w:rsidR="001F1AD9">
        <w:t xml:space="preserve"> </w:t>
      </w:r>
      <w:r w:rsidRPr="00292033">
        <w:t xml:space="preserve">and/or other documents will be given by the Offeror or the </w:t>
      </w:r>
      <w:r w:rsidR="0027613F">
        <w:t>Tender Agent</w:t>
      </w:r>
      <w:r w:rsidRPr="00292033">
        <w:t>.</w:t>
      </w:r>
    </w:p>
    <w:p w:rsidRPr="00292033" w:rsidR="00CC1CDC" w:rsidP="00CC1CDC" w:rsidRDefault="00CC1CDC" w14:paraId="7E836FA7" w14:textId="395F8BA4">
      <w:pPr>
        <w:pStyle w:val="Body"/>
        <w:rPr>
          <w:color w:val="000000"/>
        </w:rPr>
      </w:pPr>
      <w:r w:rsidRPr="00941BC7">
        <w:rPr>
          <w:color w:val="000000"/>
        </w:rPr>
        <w:t xml:space="preserve">The Offeror may, in </w:t>
      </w:r>
      <w:r w:rsidR="00F27F5A">
        <w:rPr>
          <w:color w:val="000000"/>
        </w:rPr>
        <w:t>its</w:t>
      </w:r>
      <w:r w:rsidRPr="00941BC7" w:rsidR="00F27F5A">
        <w:rPr>
          <w:color w:val="000000"/>
        </w:rPr>
        <w:t xml:space="preserve"> </w:t>
      </w:r>
      <w:r w:rsidRPr="00941BC7">
        <w:rPr>
          <w:color w:val="000000"/>
        </w:rPr>
        <w:t xml:space="preserve">sole and absolute discretion, extend, amend, waive any condition of and/or terminate the Tender Offer at any time (subject to applicable law and as provided in this </w:t>
      </w:r>
      <w:r w:rsidR="005C4C34">
        <w:rPr>
          <w:color w:val="000000"/>
        </w:rPr>
        <w:t>Tender Offer Memorandum</w:t>
      </w:r>
      <w:r w:rsidRPr="00941BC7">
        <w:rPr>
          <w:color w:val="000000"/>
        </w:rPr>
        <w:t xml:space="preserve">). Details of any such extension, amendment, waiver or termination will be announced as provided in this </w:t>
      </w:r>
      <w:r w:rsidR="005C4C34">
        <w:rPr>
          <w:color w:val="000000"/>
        </w:rPr>
        <w:t>Tender Offer Memorandum</w:t>
      </w:r>
      <w:r w:rsidRPr="00941BC7">
        <w:rPr>
          <w:color w:val="000000"/>
        </w:rPr>
        <w:t xml:space="preserve"> as soon as reasonably practicable after the relevant decision is made. See “</w:t>
      </w:r>
      <w:r w:rsidRPr="00831E73">
        <w:rPr>
          <w:i/>
          <w:color w:val="000000"/>
          <w:shd w:val="clear" w:color="auto" w:fill="FFFFFF" w:themeFill="background1"/>
        </w:rPr>
        <w:t>Amendment and Termination</w:t>
      </w:r>
      <w:r w:rsidRPr="00941BC7">
        <w:rPr>
          <w:color w:val="000000"/>
        </w:rPr>
        <w:t>”.</w:t>
      </w:r>
    </w:p>
    <w:p w:rsidRPr="003423F3" w:rsidR="00CC1CDC" w:rsidP="00CC1CDC" w:rsidRDefault="00CC1CDC" w14:paraId="135F4BA3" w14:textId="77777777">
      <w:pPr>
        <w:pStyle w:val="Head"/>
        <w:rPr>
          <w:szCs w:val="22"/>
        </w:rPr>
      </w:pPr>
      <w:bookmarkStart w:name="_Toc122976057" w:id="22"/>
      <w:r w:rsidRPr="003423F3">
        <w:rPr>
          <w:szCs w:val="22"/>
        </w:rPr>
        <w:t>Governing Law and Submission to Jurisdiction</w:t>
      </w:r>
      <w:bookmarkEnd w:id="22"/>
    </w:p>
    <w:p w:rsidRPr="004F2C8D" w:rsidR="00CC1CDC" w:rsidP="00CC1CDC" w:rsidRDefault="00CC1CDC" w14:paraId="49E56A55" w14:textId="7981679F">
      <w:pPr>
        <w:pStyle w:val="Body"/>
      </w:pPr>
      <w:r w:rsidRPr="004F2C8D">
        <w:t>The Tender Offer</w:t>
      </w:r>
      <w:r>
        <w:t xml:space="preserve">, </w:t>
      </w:r>
      <w:r w:rsidRPr="004F2C8D">
        <w:t>each Tender Instruction and any purchase of Notes</w:t>
      </w:r>
      <w:r>
        <w:t xml:space="preserve"> </w:t>
      </w:r>
      <w:r w:rsidRPr="004F2C8D">
        <w:t>pursuant to the Tender Offer</w:t>
      </w:r>
      <w:r>
        <w:t>,</w:t>
      </w:r>
      <w:r w:rsidRPr="004F2C8D">
        <w:t xml:space="preserve"> and any non-contractual obligations arising out of or in connection with the Tender Offer, will be governed by and construed in accordance with the laws of the state of New York. By submitting a Tender Instruction, the relevant Noteholder irrevocably and unconditionally agrees for the benefit of the Offeror</w:t>
      </w:r>
      <w:r w:rsidR="006F320C">
        <w:t xml:space="preserve"> </w:t>
      </w:r>
      <w:r w:rsidRPr="004F2C8D">
        <w:t xml:space="preserve">and the </w:t>
      </w:r>
      <w:r w:rsidR="0027613F">
        <w:t>Tender Agent</w:t>
      </w:r>
      <w:r w:rsidRPr="004F2C8D">
        <w:t xml:space="preserve"> that the Supreme Court of the State of New York, sitting in New York County, the United States District Court of the Southern District of New York and/or any appellate court from any thereof are to have jurisdiction to settle any disputes that may arise out of or in connection with the Tender Offer</w:t>
      </w:r>
      <w:r>
        <w:t xml:space="preserve"> </w:t>
      </w:r>
      <w:r w:rsidRPr="004F2C8D">
        <w:t>or such Tender Instruction</w:t>
      </w:r>
      <w:r>
        <w:t xml:space="preserve">, </w:t>
      </w:r>
      <w:r w:rsidRPr="004F2C8D">
        <w:t>and that, accordingly, any suit, action or proceedings arising out of or in connection with the foregoing may be brought in such courts.</w:t>
      </w:r>
    </w:p>
    <w:p w:rsidRPr="003423F3" w:rsidR="00CC1CDC" w:rsidP="00CC1CDC" w:rsidRDefault="00CC1CDC" w14:paraId="012D089D" w14:textId="77777777">
      <w:pPr>
        <w:pStyle w:val="Head"/>
        <w:rPr>
          <w:szCs w:val="22"/>
        </w:rPr>
      </w:pPr>
      <w:bookmarkStart w:name="_Toc122976058" w:id="23"/>
      <w:r w:rsidRPr="003423F3">
        <w:rPr>
          <w:szCs w:val="22"/>
        </w:rPr>
        <w:t>Costs and Expenses</w:t>
      </w:r>
      <w:bookmarkEnd w:id="23"/>
    </w:p>
    <w:p w:rsidRPr="00292033" w:rsidR="00CC1CDC" w:rsidP="00CC1CDC" w:rsidRDefault="00CC1CDC" w14:paraId="37B01852" w14:textId="1381755B">
      <w:pPr>
        <w:pStyle w:val="Body"/>
      </w:pPr>
      <w:r w:rsidRPr="004C50A0">
        <w:t>Any charges, costs and expenses incurred by the Noteholders or any intermediary in connection with the Tender Offer</w:t>
      </w:r>
      <w:r>
        <w:t xml:space="preserve"> </w:t>
      </w:r>
      <w:r w:rsidRPr="004C50A0">
        <w:t>shall be borne by such Noteholder. Noteholders should check whether their brokers, custodians or other intermediaries will assess fees.</w:t>
      </w:r>
    </w:p>
    <w:p w:rsidRPr="00742DEE" w:rsidR="005003BC" w:rsidP="00364C07" w:rsidRDefault="00F3124C" w14:paraId="72451A28" w14:textId="47385BFF">
      <w:pPr>
        <w:pStyle w:val="Head-C"/>
      </w:pPr>
      <w:bookmarkStart w:name="_Toc122976059" w:id="24"/>
      <w:r w:rsidRPr="00742DEE">
        <w:lastRenderedPageBreak/>
        <w:t>RISK FACTORS AND OTHER CONSIDERATIONS</w:t>
      </w:r>
      <w:bookmarkEnd w:id="24"/>
    </w:p>
    <w:p w:rsidRPr="00742DEE" w:rsidR="005003BC" w:rsidP="00E85B4E" w:rsidRDefault="005003BC" w14:paraId="600961D2" w14:textId="7E63AD04">
      <w:pPr>
        <w:pStyle w:val="Body"/>
        <w:rPr>
          <w:i/>
        </w:rPr>
      </w:pPr>
      <w:r w:rsidRPr="00742DEE">
        <w:rPr>
          <w:i/>
        </w:rPr>
        <w:t xml:space="preserve">Before making a decision whether to tender Notes pursuant to the </w:t>
      </w:r>
      <w:r w:rsidRPr="00645790">
        <w:rPr>
          <w:i/>
          <w:iCs/>
        </w:rPr>
        <w:t>Tender</w:t>
      </w:r>
      <w:r w:rsidRPr="00CD7901">
        <w:t xml:space="preserve"> </w:t>
      </w:r>
      <w:r w:rsidRPr="00742DEE">
        <w:rPr>
          <w:i/>
        </w:rPr>
        <w:t xml:space="preserve">Offer, Noteholders should carefully consider all of the information in this </w:t>
      </w:r>
      <w:r w:rsidR="005C4C34">
        <w:rPr>
          <w:i/>
          <w:iCs/>
          <w:color w:val="000000" w:themeColor="text1"/>
          <w:szCs w:val="26"/>
        </w:rPr>
        <w:t>Tender Offer Memorandum</w:t>
      </w:r>
      <w:r w:rsidRPr="00742DEE">
        <w:rPr>
          <w:i/>
        </w:rPr>
        <w:t xml:space="preserve"> and, in particular, the following factors</w:t>
      </w:r>
      <w:r>
        <w:rPr>
          <w:i/>
        </w:rPr>
        <w:t>.</w:t>
      </w:r>
      <w:r w:rsidRPr="000B36B3">
        <w:t xml:space="preserve"> </w:t>
      </w:r>
      <w:r w:rsidRPr="000B36B3">
        <w:rPr>
          <w:i/>
        </w:rPr>
        <w:t>The</w:t>
      </w:r>
      <w:r>
        <w:rPr>
          <w:i/>
        </w:rPr>
        <w:t xml:space="preserve"> Offeror </w:t>
      </w:r>
      <w:r w:rsidRPr="000B36B3">
        <w:rPr>
          <w:i/>
        </w:rPr>
        <w:t>believe</w:t>
      </w:r>
      <w:r w:rsidR="007A5906">
        <w:rPr>
          <w:i/>
        </w:rPr>
        <w:t>s</w:t>
      </w:r>
      <w:r w:rsidRPr="000B36B3">
        <w:rPr>
          <w:i/>
        </w:rPr>
        <w:t xml:space="preserve"> that the factors described below represent the principal risks inherent in the </w:t>
      </w:r>
      <w:r>
        <w:rPr>
          <w:i/>
        </w:rPr>
        <w:t>Tender</w:t>
      </w:r>
      <w:r w:rsidRPr="002760AA" w:rsidR="002760AA">
        <w:t xml:space="preserve"> </w:t>
      </w:r>
      <w:r w:rsidRPr="002760AA" w:rsidR="002760AA">
        <w:rPr>
          <w:i/>
        </w:rPr>
        <w:t>Offer</w:t>
      </w:r>
      <w:r w:rsidRPr="000B36B3">
        <w:rPr>
          <w:i/>
        </w:rPr>
        <w:t xml:space="preserve">, but the </w:t>
      </w:r>
      <w:r>
        <w:rPr>
          <w:i/>
        </w:rPr>
        <w:t xml:space="preserve">Tender </w:t>
      </w:r>
      <w:r w:rsidRPr="000B36B3">
        <w:rPr>
          <w:i/>
        </w:rPr>
        <w:t>Offer</w:t>
      </w:r>
      <w:r w:rsidR="003A1312">
        <w:rPr>
          <w:i/>
        </w:rPr>
        <w:t xml:space="preserve"> </w:t>
      </w:r>
      <w:r w:rsidRPr="000B36B3">
        <w:rPr>
          <w:i/>
        </w:rPr>
        <w:t>may imply other risks which may not be considered significant risks by the</w:t>
      </w:r>
      <w:r>
        <w:rPr>
          <w:i/>
        </w:rPr>
        <w:t xml:space="preserve"> Offeror </w:t>
      </w:r>
      <w:r w:rsidRPr="000B36B3">
        <w:rPr>
          <w:i/>
        </w:rPr>
        <w:t>based on information currently available to it or which it may not currently be able to anticipate.</w:t>
      </w:r>
    </w:p>
    <w:p w:rsidRPr="00742DEE" w:rsidR="005003BC" w:rsidP="00F3124C" w:rsidRDefault="005003BC" w14:paraId="62FAA7B4" w14:textId="556011EA">
      <w:pPr>
        <w:pStyle w:val="Head"/>
      </w:pPr>
      <w:bookmarkStart w:name="_Toc122976060" w:id="25"/>
      <w:r w:rsidRPr="00742DEE">
        <w:t xml:space="preserve">Responsibility for Complying with the Procedures of the </w:t>
      </w:r>
      <w:r>
        <w:t xml:space="preserve">Tender </w:t>
      </w:r>
      <w:r w:rsidRPr="00742DEE">
        <w:t>Offer</w:t>
      </w:r>
      <w:bookmarkEnd w:id="25"/>
      <w:r w:rsidR="000023B5">
        <w:t xml:space="preserve"> </w:t>
      </w:r>
    </w:p>
    <w:p w:rsidR="00C0627A" w:rsidP="00C0627A" w:rsidRDefault="005003BC" w14:paraId="457E2D9A" w14:textId="7471355F">
      <w:pPr>
        <w:pStyle w:val="Body"/>
      </w:pPr>
      <w:r w:rsidRPr="00742DEE">
        <w:t>Noteholders are responsible for complying with all of the procedures for tendering Notes pursuant to the</w:t>
      </w:r>
      <w:r>
        <w:t xml:space="preserve"> Tender</w:t>
      </w:r>
      <w:r w:rsidRPr="00742DEE">
        <w:t xml:space="preserve"> Offer (including the submission of </w:t>
      </w:r>
      <w:r w:rsidRPr="00781AE3">
        <w:t>Tender Instruction</w:t>
      </w:r>
      <w:r>
        <w:t>s</w:t>
      </w:r>
      <w:r w:rsidRPr="00742DEE">
        <w:t xml:space="preserve">). </w:t>
      </w:r>
      <w:r w:rsidR="00B85F3E">
        <w:t>Neither</w:t>
      </w:r>
      <w:r>
        <w:t xml:space="preserve"> the Offeror</w:t>
      </w:r>
      <w:r w:rsidR="001F0FF5">
        <w:t xml:space="preserve"> </w:t>
      </w:r>
      <w:r w:rsidR="00B85F3E">
        <w:t>n</w:t>
      </w:r>
      <w:r w:rsidR="00264128">
        <w:t xml:space="preserve">or the </w:t>
      </w:r>
      <w:r w:rsidR="0027613F">
        <w:t>Tender Agent</w:t>
      </w:r>
      <w:r w:rsidR="00264128">
        <w:t xml:space="preserve"> </w:t>
      </w:r>
      <w:r w:rsidRPr="00742DEE">
        <w:t>assumes any responsibility for informing any Noteholder of irregularities with respect to such Noteholder</w:t>
      </w:r>
      <w:r>
        <w:t>’</w:t>
      </w:r>
      <w:r w:rsidRPr="00742DEE">
        <w:t xml:space="preserve">s participation in the </w:t>
      </w:r>
      <w:r>
        <w:t>Tender</w:t>
      </w:r>
      <w:r w:rsidRPr="00CD7901">
        <w:t xml:space="preserve"> </w:t>
      </w:r>
      <w:r>
        <w:t>Offer</w:t>
      </w:r>
      <w:r w:rsidRPr="00742DEE">
        <w:t xml:space="preserve"> including any errors or other irregularities, manifest or otherwise, in any </w:t>
      </w:r>
      <w:r w:rsidRPr="00781AE3">
        <w:t>Tender Instruction</w:t>
      </w:r>
      <w:r w:rsidRPr="00742DEE">
        <w:t>.</w:t>
      </w:r>
    </w:p>
    <w:p w:rsidRPr="00742DEE" w:rsidR="005A00B9" w:rsidP="00C0627A" w:rsidRDefault="005A00B9" w14:paraId="6A333BA3" w14:textId="620AC178">
      <w:pPr>
        <w:pStyle w:val="Body"/>
      </w:pPr>
      <w:r w:rsidRPr="005A00B9">
        <w:t xml:space="preserve">If Notes are held through a broker, dealer, commercial bank, trust company or other nominee, such entity may require the relevant Noteholder to take action with respect to the </w:t>
      </w:r>
      <w:r>
        <w:t xml:space="preserve">Tender Offer </w:t>
      </w:r>
      <w:r w:rsidRPr="005A00B9">
        <w:t xml:space="preserve">a number of days before the </w:t>
      </w:r>
      <w:r>
        <w:t xml:space="preserve">Expiration </w:t>
      </w:r>
      <w:r w:rsidRPr="005A00B9">
        <w:t xml:space="preserve">Deadline in order for such entity to </w:t>
      </w:r>
      <w:r w:rsidR="00C42D73">
        <w:t xml:space="preserve">tender Notes </w:t>
      </w:r>
      <w:r w:rsidRPr="005A00B9">
        <w:t xml:space="preserve">on behalf of the relevant Noteholder on or prior to the </w:t>
      </w:r>
      <w:r w:rsidRPr="00C42D73" w:rsidR="00C42D73">
        <w:t>Expiration</w:t>
      </w:r>
      <w:r w:rsidRPr="005A00B9">
        <w:t xml:space="preserve"> Deadline.</w:t>
      </w:r>
    </w:p>
    <w:p w:rsidRPr="00F3124C" w:rsidR="00AD22FF" w:rsidP="00AD22FF" w:rsidRDefault="00AD22FF" w14:paraId="717AA819" w14:textId="77777777">
      <w:pPr>
        <w:pStyle w:val="Head"/>
      </w:pPr>
      <w:bookmarkStart w:name="_Toc122976061" w:id="26"/>
      <w:r w:rsidRPr="00F3124C">
        <w:t>Tender Instructions Irrevocable</w:t>
      </w:r>
      <w:bookmarkEnd w:id="26"/>
    </w:p>
    <w:p w:rsidR="00AD22FF" w:rsidP="00AD22FF" w:rsidRDefault="00AD22FF" w14:paraId="098FC9FC" w14:textId="7346C9FF">
      <w:pPr>
        <w:pStyle w:val="Body"/>
      </w:pPr>
      <w:r w:rsidRPr="00781AE3">
        <w:t>Tender Instruction</w:t>
      </w:r>
      <w:r>
        <w:t>s submitted by Noteholders</w:t>
      </w:r>
      <w:r w:rsidRPr="00742DEE">
        <w:t xml:space="preserve"> </w:t>
      </w:r>
      <w:r>
        <w:t>will be irrevocable and may not be amended or withdrawn.</w:t>
      </w:r>
      <w:r w:rsidR="00C9660F">
        <w:t xml:space="preserve"> </w:t>
      </w:r>
      <w:r w:rsidRPr="00F650A8" w:rsidR="00C9660F">
        <w:t>However, there c</w:t>
      </w:r>
      <w:r w:rsidR="00C9660F">
        <w:t>an be no assurance that the Tender Instruction</w:t>
      </w:r>
      <w:r w:rsidR="00E331C8">
        <w:t>s</w:t>
      </w:r>
      <w:r w:rsidR="00C9660F">
        <w:t xml:space="preserve"> so submitted will be accepted by the Offeror in full or at all.</w:t>
      </w:r>
    </w:p>
    <w:p w:rsidRPr="00F3124C" w:rsidR="005003BC" w:rsidP="00F3124C" w:rsidRDefault="005003BC" w14:paraId="4110F6EC" w14:textId="036C076E">
      <w:pPr>
        <w:pStyle w:val="Head"/>
      </w:pPr>
      <w:bookmarkStart w:name="_Toc122976062" w:id="27"/>
      <w:r w:rsidRPr="00F3124C">
        <w:t>Completion</w:t>
      </w:r>
      <w:r w:rsidR="003A071C">
        <w:t>,</w:t>
      </w:r>
      <w:r w:rsidRPr="00F3124C">
        <w:t xml:space="preserve"> </w:t>
      </w:r>
      <w:r w:rsidR="0027014A">
        <w:t>T</w:t>
      </w:r>
      <w:r w:rsidRPr="003A071C" w:rsidR="0027014A">
        <w:t>erminat</w:t>
      </w:r>
      <w:r w:rsidR="0027014A">
        <w:t>ion</w:t>
      </w:r>
      <w:r w:rsidRPr="003A071C" w:rsidR="003A071C">
        <w:t xml:space="preserve"> </w:t>
      </w:r>
      <w:r w:rsidRPr="00F3124C">
        <w:t>and Amendment</w:t>
      </w:r>
      <w:bookmarkEnd w:id="27"/>
    </w:p>
    <w:p w:rsidR="005003BC" w:rsidP="00762567" w:rsidRDefault="005003BC" w14:paraId="42DD91C1" w14:textId="104A0B73">
      <w:pPr>
        <w:pStyle w:val="Body"/>
      </w:pPr>
      <w:r>
        <w:t>S</w:t>
      </w:r>
      <w:r w:rsidRPr="00742DEE">
        <w:t xml:space="preserve">ubject to applicable law and as provided in this </w:t>
      </w:r>
      <w:r w:rsidR="005C4C34">
        <w:t>Tender Offer Memorandum</w:t>
      </w:r>
      <w:r w:rsidRPr="00742DEE">
        <w:t xml:space="preserve">, the </w:t>
      </w:r>
      <w:r>
        <w:t xml:space="preserve">Offeror </w:t>
      </w:r>
      <w:r w:rsidRPr="00742DEE">
        <w:t>may, in its sole discretion, extend</w:t>
      </w:r>
      <w:r w:rsidR="00FE236D">
        <w:t xml:space="preserve">, </w:t>
      </w:r>
      <w:r w:rsidRPr="00742DEE">
        <w:t>amend</w:t>
      </w:r>
      <w:r w:rsidR="00FE236D">
        <w:t xml:space="preserve"> </w:t>
      </w:r>
      <w:r w:rsidR="00762567">
        <w:t>and/</w:t>
      </w:r>
      <w:r w:rsidR="00FE236D">
        <w:t>or terminate</w:t>
      </w:r>
      <w:r w:rsidRPr="00742DEE">
        <w:t xml:space="preserve"> the</w:t>
      </w:r>
      <w:r w:rsidRPr="00645790">
        <w:t xml:space="preserve"> </w:t>
      </w:r>
      <w:r>
        <w:t>Tender</w:t>
      </w:r>
      <w:r w:rsidRPr="00742DEE">
        <w:t xml:space="preserve"> Offer at any time before </w:t>
      </w:r>
      <w:r w:rsidRPr="00D37C8F" w:rsidR="00D37C8F">
        <w:t xml:space="preserve">any acceptance by it of the Notes tendered for purchase in the Tender Offer </w:t>
      </w:r>
      <w:r w:rsidRPr="00742DEE">
        <w:t xml:space="preserve">and may, in its sole discretion, waive any of the conditions to the </w:t>
      </w:r>
      <w:r>
        <w:t>Tender</w:t>
      </w:r>
      <w:r w:rsidRPr="00CD7901">
        <w:t xml:space="preserve"> </w:t>
      </w:r>
      <w:r w:rsidRPr="00742DEE">
        <w:t>Offer</w:t>
      </w:r>
      <w:r>
        <w:t xml:space="preserve"> </w:t>
      </w:r>
      <w:r w:rsidRPr="00BD3FDA" w:rsidR="00BD3FDA">
        <w:t>at any time</w:t>
      </w:r>
      <w:r w:rsidRPr="00742DEE">
        <w:t>.</w:t>
      </w:r>
      <w:r w:rsidR="00E70401">
        <w:t xml:space="preserve"> </w:t>
      </w:r>
      <w:r w:rsidRPr="00A15B89" w:rsidR="00A15B89">
        <w:t>In the event of an increase of the Maximum Acceptance Amount, the Tender Instructions submitted in the Tender Offer before the announcement of such increase shall continue to be irrevocable</w:t>
      </w:r>
      <w:r w:rsidR="00065F7F">
        <w:t>.</w:t>
      </w:r>
      <w:r w:rsidR="00FB25CE">
        <w:t xml:space="preserve"> </w:t>
      </w:r>
    </w:p>
    <w:p w:rsidRPr="00F3124C" w:rsidR="005003BC" w:rsidP="00F3124C" w:rsidRDefault="005003BC" w14:paraId="45510521" w14:textId="4C3EF33D">
      <w:pPr>
        <w:pStyle w:val="Head"/>
      </w:pPr>
      <w:bookmarkStart w:name="_Toc122976063" w:id="28"/>
      <w:r w:rsidRPr="00F3124C">
        <w:t>Compliance with Offer</w:t>
      </w:r>
      <w:r w:rsidR="008216CA">
        <w:t xml:space="preserve"> </w:t>
      </w:r>
      <w:r w:rsidRPr="00F3124C">
        <w:t>and Distribution Restrictions</w:t>
      </w:r>
      <w:bookmarkEnd w:id="28"/>
    </w:p>
    <w:p w:rsidRPr="00742DEE" w:rsidR="005003BC" w:rsidP="00E85B4E" w:rsidRDefault="005003BC" w14:paraId="503EA8F7" w14:textId="03A5E2CB">
      <w:pPr>
        <w:pStyle w:val="Body"/>
      </w:pPr>
      <w:r w:rsidRPr="00742DEE">
        <w:t xml:space="preserve">Noteholders are referred to the offer and distribution restrictions in </w:t>
      </w:r>
      <w:r>
        <w:t>“</w:t>
      </w:r>
      <w:r w:rsidRPr="00742DEE">
        <w:rPr>
          <w:i/>
        </w:rPr>
        <w:t>Offer</w:t>
      </w:r>
      <w:r w:rsidR="008216CA">
        <w:rPr>
          <w:i/>
        </w:rPr>
        <w:t xml:space="preserve"> </w:t>
      </w:r>
      <w:r w:rsidRPr="00742DEE">
        <w:rPr>
          <w:i/>
        </w:rPr>
        <w:t>and Distribution Restrictions</w:t>
      </w:r>
      <w:r>
        <w:t>”</w:t>
      </w:r>
      <w:r w:rsidRPr="00742DEE">
        <w:t xml:space="preserve"> and the agreements, acknowledgements, representations, warranties and undertakings in </w:t>
      </w:r>
      <w:r>
        <w:t>“</w:t>
      </w:r>
      <w:r w:rsidRPr="00742DEE">
        <w:rPr>
          <w:i/>
        </w:rPr>
        <w:t xml:space="preserve">Procedures for Participating in the </w:t>
      </w:r>
      <w:r>
        <w:rPr>
          <w:i/>
        </w:rPr>
        <w:t xml:space="preserve">Tender </w:t>
      </w:r>
      <w:r w:rsidRPr="00742DEE">
        <w:rPr>
          <w:i/>
        </w:rPr>
        <w:t>Offer</w:t>
      </w:r>
      <w:r w:rsidR="00575F67">
        <w:rPr>
          <w:i/>
        </w:rPr>
        <w:t xml:space="preserve"> </w:t>
      </w:r>
      <w:r w:rsidRPr="00042372" w:rsidR="000B34D2">
        <w:rPr>
          <w:i/>
          <w:color w:val="000000"/>
          <w:shd w:val="clear" w:color="auto" w:fill="FFFFFF" w:themeFill="background1"/>
        </w:rPr>
        <w:t>–</w:t>
      </w:r>
      <w:r w:rsidR="000B34D2">
        <w:rPr>
          <w:i/>
          <w:color w:val="000000"/>
          <w:shd w:val="clear" w:color="auto" w:fill="FFFFFF" w:themeFill="background1"/>
        </w:rPr>
        <w:t xml:space="preserve"> </w:t>
      </w:r>
      <w:r w:rsidRPr="000B34D2" w:rsidR="000B34D2">
        <w:rPr>
          <w:i/>
        </w:rPr>
        <w:t>Agreement, Acknowledgements, Representations, Warranties and Undertakings of the Noteholders</w:t>
      </w:r>
      <w:r>
        <w:t>”</w:t>
      </w:r>
      <w:r w:rsidRPr="00742DEE">
        <w:t xml:space="preserve">, which </w:t>
      </w:r>
      <w:r w:rsidR="00305935">
        <w:t xml:space="preserve">each </w:t>
      </w:r>
      <w:r w:rsidRPr="00742DEE">
        <w:t>Noteholder will be deemed to make on submission of a</w:t>
      </w:r>
      <w:r>
        <w:t xml:space="preserve"> </w:t>
      </w:r>
      <w:r w:rsidRPr="00E6354C">
        <w:t>Tender Instruction</w:t>
      </w:r>
      <w:r w:rsidRPr="00742DEE">
        <w:t>. Non-compliance with these could result in, among other things, the unwinding of trades and/or heavy penalties.</w:t>
      </w:r>
    </w:p>
    <w:p w:rsidRPr="00F3124C" w:rsidR="005003BC" w:rsidP="00F3124C" w:rsidRDefault="005003BC" w14:paraId="0EE4EDBD" w14:textId="77777777">
      <w:pPr>
        <w:pStyle w:val="Head"/>
      </w:pPr>
      <w:bookmarkStart w:name="_Toc122976064" w:id="29"/>
      <w:r w:rsidRPr="00F3124C">
        <w:t>Responsibility to Consult Advisers</w:t>
      </w:r>
      <w:bookmarkEnd w:id="29"/>
    </w:p>
    <w:p w:rsidRPr="00742DEE" w:rsidR="005003BC" w:rsidP="00E85B4E" w:rsidRDefault="005003BC" w14:paraId="7F81359C" w14:textId="0DFA3913">
      <w:pPr>
        <w:pStyle w:val="Body"/>
      </w:pPr>
      <w:r w:rsidRPr="00742DEE">
        <w:t>Each Noteholder is solely responsible for making its own independent appraisal of all matters as such Noteholder deems appropriate (</w:t>
      </w:r>
      <w:r w:rsidRPr="006E77C7">
        <w:t xml:space="preserve">including those relating to the </w:t>
      </w:r>
      <w:r>
        <w:t>Tender</w:t>
      </w:r>
      <w:r w:rsidRPr="00CD7901">
        <w:t xml:space="preserve"> </w:t>
      </w:r>
      <w:r w:rsidRPr="006E77C7">
        <w:t xml:space="preserve">Offer, this </w:t>
      </w:r>
      <w:r w:rsidR="005C4C34">
        <w:t>Tender Offer Memorandum</w:t>
      </w:r>
      <w:r>
        <w:t xml:space="preserve"> </w:t>
      </w:r>
      <w:r w:rsidR="00575F67">
        <w:t xml:space="preserve">and </w:t>
      </w:r>
      <w:r>
        <w:t>the Offeror</w:t>
      </w:r>
      <w:r w:rsidRPr="00742DEE">
        <w:t>) and each Noteholder must make its own decision as to whether to tender any or all of its Notes for purchase pursuant to the</w:t>
      </w:r>
      <w:r>
        <w:t xml:space="preserve"> Tender</w:t>
      </w:r>
      <w:r w:rsidRPr="00742DEE">
        <w:t xml:space="preserve"> Offer.</w:t>
      </w:r>
    </w:p>
    <w:p w:rsidRPr="00742DEE" w:rsidR="005003BC" w:rsidP="00E85B4E" w:rsidRDefault="005003BC" w14:paraId="1AF2AC97" w14:textId="536C51A3">
      <w:pPr>
        <w:pStyle w:val="Body"/>
      </w:pPr>
      <w:r w:rsidRPr="00742DEE">
        <w:lastRenderedPageBreak/>
        <w:t xml:space="preserve">Noteholders should consult their own tax, accounting, financial and legal advisers regarding the suitability to themselves of the tax or accounting consequences of participating in the </w:t>
      </w:r>
      <w:r>
        <w:t>Tender</w:t>
      </w:r>
      <w:r w:rsidRPr="00CD7901">
        <w:t xml:space="preserve"> </w:t>
      </w:r>
      <w:r w:rsidRPr="00742DEE">
        <w:t>Offer.</w:t>
      </w:r>
      <w:r w:rsidRPr="003E6D3F" w:rsidR="003E6D3F">
        <w:t xml:space="preserve"> </w:t>
      </w:r>
      <w:r w:rsidR="009C1F28">
        <w:t>Neither</w:t>
      </w:r>
      <w:r w:rsidRPr="003E6D3F" w:rsidR="003E6D3F">
        <w:t xml:space="preserve"> </w:t>
      </w:r>
      <w:r w:rsidR="00394931">
        <w:t>the Offeror</w:t>
      </w:r>
      <w:r w:rsidR="00575F67">
        <w:t xml:space="preserve"> </w:t>
      </w:r>
      <w:r w:rsidR="009C1F28">
        <w:t>n</w:t>
      </w:r>
      <w:r w:rsidR="00394931">
        <w:t xml:space="preserve">or </w:t>
      </w:r>
      <w:r w:rsidRPr="003E6D3F" w:rsidR="003E6D3F">
        <w:t xml:space="preserve">the </w:t>
      </w:r>
      <w:r w:rsidR="0027613F">
        <w:t>Tender Agent</w:t>
      </w:r>
      <w:r w:rsidRPr="003E6D3F" w:rsidR="003E6D3F">
        <w:t xml:space="preserve"> has made or will make any assessment of the merits of </w:t>
      </w:r>
      <w:bookmarkStart w:name="_Hlk118662904" w:id="30"/>
      <w:r w:rsidRPr="003E6D3F" w:rsidR="003E6D3F">
        <w:t xml:space="preserve">the </w:t>
      </w:r>
      <w:r w:rsidR="00394931">
        <w:t>Tender Offer</w:t>
      </w:r>
      <w:r w:rsidR="001002F2">
        <w:t xml:space="preserve"> </w:t>
      </w:r>
      <w:bookmarkEnd w:id="30"/>
      <w:r w:rsidRPr="003E6D3F" w:rsidR="003E6D3F">
        <w:t xml:space="preserve">or of the impact of </w:t>
      </w:r>
      <w:r w:rsidRPr="001002F2" w:rsidR="001002F2">
        <w:t xml:space="preserve">the Tender Offer </w:t>
      </w:r>
      <w:r w:rsidRPr="003E6D3F" w:rsidR="003E6D3F">
        <w:t xml:space="preserve">on the interests of Noteholders either as a class or as individuals. Noteholders are liable for their own taxes and have no recourse to </w:t>
      </w:r>
      <w:r w:rsidRPr="001002F2" w:rsidR="001002F2">
        <w:t>the Offeror</w:t>
      </w:r>
      <w:r w:rsidR="001F0FF5">
        <w:t xml:space="preserve"> </w:t>
      </w:r>
      <w:r w:rsidRPr="001002F2" w:rsidR="001002F2">
        <w:t xml:space="preserve">or the </w:t>
      </w:r>
      <w:r w:rsidR="0027613F">
        <w:t>Tender Agent</w:t>
      </w:r>
      <w:r w:rsidRPr="001002F2" w:rsidR="001002F2">
        <w:t xml:space="preserve"> </w:t>
      </w:r>
      <w:r w:rsidRPr="003E6D3F" w:rsidR="003E6D3F">
        <w:t xml:space="preserve">with respect to taxes arising in connection with </w:t>
      </w:r>
      <w:r w:rsidRPr="001002F2" w:rsidR="001002F2">
        <w:t>the Tender Offer</w:t>
      </w:r>
      <w:r w:rsidRPr="003E6D3F" w:rsidR="003E6D3F">
        <w:t>.</w:t>
      </w:r>
    </w:p>
    <w:p w:rsidRPr="00742DEE" w:rsidR="005003BC" w:rsidP="00E85B4E" w:rsidRDefault="005003BC" w14:paraId="6AD3EDB3" w14:textId="0708654C">
      <w:pPr>
        <w:pStyle w:val="Body"/>
      </w:pPr>
      <w:r w:rsidRPr="00742DEE">
        <w:t xml:space="preserve">None of </w:t>
      </w:r>
      <w:r>
        <w:t xml:space="preserve">the Offeror, </w:t>
      </w:r>
      <w:r w:rsidRPr="00870236" w:rsidR="00870236">
        <w:t xml:space="preserve">the </w:t>
      </w:r>
      <w:r w:rsidR="0027613F">
        <w:t>Tender Agent</w:t>
      </w:r>
      <w:r w:rsidRPr="00870236" w:rsidR="00870236">
        <w:t xml:space="preserve"> </w:t>
      </w:r>
      <w:r w:rsidRPr="00742DEE">
        <w:t xml:space="preserve">or any director, officer, employee, agent or affiliate of any such person, is acting for any Noteholder, or will be responsible to any Noteholder for providing any protections which would be afforded to its clients or for providing advice in relation to the </w:t>
      </w:r>
      <w:r>
        <w:t>Tender</w:t>
      </w:r>
      <w:r w:rsidRPr="00CD7901">
        <w:t xml:space="preserve"> </w:t>
      </w:r>
      <w:r w:rsidRPr="00742DEE">
        <w:t xml:space="preserve">Offer, and accordingly none of </w:t>
      </w:r>
      <w:r>
        <w:t>the Offeror</w:t>
      </w:r>
      <w:r w:rsidR="005F663D">
        <w:t xml:space="preserve">, </w:t>
      </w:r>
      <w:r w:rsidRPr="00742DEE">
        <w:t xml:space="preserve">the </w:t>
      </w:r>
      <w:r w:rsidR="0027613F">
        <w:t>Tender Agent</w:t>
      </w:r>
      <w:r w:rsidR="00F158F1">
        <w:t xml:space="preserve"> </w:t>
      </w:r>
      <w:r w:rsidRPr="00742DEE">
        <w:t>or any director, officer, employee, agent or affiliate of any such person, makes any recommendation as to whether</w:t>
      </w:r>
      <w:r>
        <w:t xml:space="preserve"> or not</w:t>
      </w:r>
      <w:r w:rsidRPr="00742DEE">
        <w:t xml:space="preserve"> Noteholders should tender </w:t>
      </w:r>
      <w:r w:rsidR="004F13BF">
        <w:t xml:space="preserve">their </w:t>
      </w:r>
      <w:r w:rsidRPr="00742DEE">
        <w:t>Notes in the</w:t>
      </w:r>
      <w:r w:rsidRPr="00645790">
        <w:t xml:space="preserve"> </w:t>
      </w:r>
      <w:r>
        <w:t>Tender</w:t>
      </w:r>
      <w:r w:rsidRPr="00742DEE">
        <w:t xml:space="preserve"> Offer.</w:t>
      </w:r>
    </w:p>
    <w:p w:rsidRPr="00F3124C" w:rsidR="005003BC" w:rsidP="00F3124C" w:rsidRDefault="005003BC" w14:paraId="5F52EBDA" w14:textId="77777777">
      <w:pPr>
        <w:pStyle w:val="Head"/>
      </w:pPr>
      <w:bookmarkStart w:name="_Toc122976065" w:id="31"/>
      <w:r w:rsidRPr="00F3124C">
        <w:t>Restrictions on Transfer of Notes</w:t>
      </w:r>
      <w:bookmarkEnd w:id="31"/>
    </w:p>
    <w:p w:rsidR="005003BC" w:rsidP="00E85B4E" w:rsidRDefault="005003BC" w14:paraId="0B2F05E8" w14:textId="17E9B9AA">
      <w:pPr>
        <w:pStyle w:val="Body"/>
      </w:pPr>
      <w:r w:rsidRPr="00742DEE">
        <w:t xml:space="preserve">When considering whether to participate in the </w:t>
      </w:r>
      <w:r>
        <w:t>Tender</w:t>
      </w:r>
      <w:r w:rsidRPr="00CD7901">
        <w:t xml:space="preserve"> </w:t>
      </w:r>
      <w:r w:rsidRPr="00742DEE">
        <w:t>Offer, Noteholders</w:t>
      </w:r>
      <w:r>
        <w:t xml:space="preserve"> whose Notes are held through Euroclear or </w:t>
      </w:r>
      <w:proofErr w:type="spellStart"/>
      <w:r>
        <w:t>Clearstream</w:t>
      </w:r>
      <w:proofErr w:type="spellEnd"/>
      <w:r>
        <w:t>, Luxembourg,</w:t>
      </w:r>
      <w:r w:rsidRPr="00742DEE">
        <w:t xml:space="preserve"> should take into account that restrictions on the transfer of Notes by Noteholders will apply from the time of submission of </w:t>
      </w:r>
      <w:r w:rsidRPr="00CE13DC">
        <w:t>Tender Instruction</w:t>
      </w:r>
      <w:r>
        <w:t>s</w:t>
      </w:r>
      <w:r w:rsidRPr="00742DEE">
        <w:t>. A Noteholder will, on submitting a</w:t>
      </w:r>
      <w:r>
        <w:t xml:space="preserve"> </w:t>
      </w:r>
      <w:r w:rsidRPr="00CE13DC">
        <w:t>Tender Instruction</w:t>
      </w:r>
      <w:r w:rsidRPr="00742DEE">
        <w:t xml:space="preserve">, </w:t>
      </w:r>
      <w:r w:rsidRPr="009D0F42" w:rsidR="009D0F42">
        <w:t xml:space="preserve">be deemed to </w:t>
      </w:r>
      <w:r w:rsidRPr="00742DEE">
        <w:t xml:space="preserve">agree that its Notes will be blocked in the relevant account in the relevant Clearing System from the date the relevant </w:t>
      </w:r>
      <w:r w:rsidRPr="00CE13DC">
        <w:t>Tender Instruction</w:t>
      </w:r>
      <w:r>
        <w:t xml:space="preserve"> </w:t>
      </w:r>
      <w:r w:rsidRPr="00742DEE">
        <w:t>is submitted until the earlier of (</w:t>
      </w:r>
      <w:proofErr w:type="spellStart"/>
      <w:r w:rsidRPr="00742DEE">
        <w:t>i</w:t>
      </w:r>
      <w:proofErr w:type="spellEnd"/>
      <w:r w:rsidRPr="00742DEE">
        <w:t xml:space="preserve">) the time of settlement on </w:t>
      </w:r>
      <w:r w:rsidRPr="00183A3C">
        <w:t xml:space="preserve">the </w:t>
      </w:r>
      <w:r w:rsidRPr="0073477E">
        <w:t>Settlement</w:t>
      </w:r>
      <w:r>
        <w:t xml:space="preserve"> Date</w:t>
      </w:r>
      <w:r w:rsidRPr="00183A3C">
        <w:t xml:space="preserve"> </w:t>
      </w:r>
      <w:r w:rsidRPr="00742DEE">
        <w:t xml:space="preserve">and (ii) </w:t>
      </w:r>
      <w:bookmarkStart w:name="_Hlk118725146" w:id="32"/>
      <w:r w:rsidRPr="00742DEE">
        <w:t>the date of any termination of the</w:t>
      </w:r>
      <w:r w:rsidRPr="00645790">
        <w:t xml:space="preserve"> </w:t>
      </w:r>
      <w:r>
        <w:t>Tender</w:t>
      </w:r>
      <w:r w:rsidRPr="00742DEE">
        <w:t xml:space="preserve"> Offer </w:t>
      </w:r>
      <w:bookmarkEnd w:id="32"/>
      <w:r w:rsidRPr="00742DEE">
        <w:t xml:space="preserve">(including where such Notes are not accepted by the </w:t>
      </w:r>
      <w:r>
        <w:t xml:space="preserve">Offeror </w:t>
      </w:r>
      <w:r w:rsidRPr="00742DEE">
        <w:t>for purchase).</w:t>
      </w:r>
    </w:p>
    <w:p w:rsidRPr="00F3124C" w:rsidR="005003BC" w:rsidP="00F3124C" w:rsidRDefault="005003BC" w14:paraId="2602447D" w14:textId="77777777">
      <w:pPr>
        <w:pStyle w:val="Head"/>
      </w:pPr>
      <w:bookmarkStart w:name="_Toc122976066" w:id="33"/>
      <w:r w:rsidRPr="00F3124C">
        <w:t>Costs Incurred in Processing Instructions and Blocking the Notes</w:t>
      </w:r>
      <w:bookmarkEnd w:id="33"/>
    </w:p>
    <w:p w:rsidRPr="00742DEE" w:rsidR="005003BC" w:rsidP="00E85B4E" w:rsidRDefault="005003BC" w14:paraId="400A3385" w14:textId="56B4A3EA">
      <w:pPr>
        <w:pStyle w:val="Body"/>
      </w:pPr>
      <w:r w:rsidRPr="00742DEE">
        <w:t xml:space="preserve">Any fees, if any, which may be charged by the relevant Clearing System to the Direct Participant in connection with the processing instructions and blocking (or unblocking) of the Notes or otherwise (including, without limitation in connection with an amendment of the </w:t>
      </w:r>
      <w:r>
        <w:t>Tender</w:t>
      </w:r>
      <w:r w:rsidRPr="00CD7901">
        <w:t xml:space="preserve"> </w:t>
      </w:r>
      <w:r w:rsidRPr="00742DEE">
        <w:t xml:space="preserve">Offer by the </w:t>
      </w:r>
      <w:r>
        <w:t>Offeror</w:t>
      </w:r>
      <w:r w:rsidRPr="00742DEE">
        <w:t xml:space="preserve">) must be borne by the Direct Participant or as otherwise agreed between the Direct Participant and the Noteholder. For the avoidance of doubt, Direct Participants and Noteholders shall have no recourse to </w:t>
      </w:r>
      <w:r>
        <w:t>the Offeror</w:t>
      </w:r>
      <w:r w:rsidR="00EA49D4">
        <w:t xml:space="preserve"> </w:t>
      </w:r>
      <w:r w:rsidR="00782DD2">
        <w:t xml:space="preserve">or </w:t>
      </w:r>
      <w:r w:rsidRPr="00782DD2" w:rsidR="00782DD2">
        <w:t xml:space="preserve">the </w:t>
      </w:r>
      <w:r w:rsidR="0027613F">
        <w:t>Tender Agent</w:t>
      </w:r>
      <w:r w:rsidRPr="00782DD2" w:rsidR="00782DD2">
        <w:t xml:space="preserve"> </w:t>
      </w:r>
      <w:r w:rsidRPr="00742DEE">
        <w:t>with respect to such costs or any other costs or expenses.</w:t>
      </w:r>
    </w:p>
    <w:p w:rsidRPr="00F3124C" w:rsidR="00EC6694" w:rsidP="00EC6694" w:rsidRDefault="00A95F7F" w14:paraId="13841A72" w14:textId="6B0131E1">
      <w:pPr>
        <w:pStyle w:val="Head"/>
      </w:pPr>
      <w:bookmarkStart w:name="_Toc122976067" w:id="34"/>
      <w:r>
        <w:t>Submission of Tender Instruction</w:t>
      </w:r>
      <w:r w:rsidR="00266B8B">
        <w:t>s</w:t>
      </w:r>
      <w:r>
        <w:t xml:space="preserve"> </w:t>
      </w:r>
      <w:r w:rsidRPr="00A95F7F">
        <w:t xml:space="preserve">by </w:t>
      </w:r>
      <w:r w:rsidRPr="00F3124C" w:rsidR="00EC6694">
        <w:t>Sanctions Restricted Persons</w:t>
      </w:r>
      <w:r>
        <w:t xml:space="preserve"> will not be Accepted</w:t>
      </w:r>
      <w:bookmarkEnd w:id="34"/>
      <w:r>
        <w:t xml:space="preserve"> </w:t>
      </w:r>
    </w:p>
    <w:p w:rsidR="00EC6694" w:rsidP="003B10F7" w:rsidRDefault="00EC6694" w14:paraId="4DF75185" w14:textId="6827414E">
      <w:pPr>
        <w:pStyle w:val="Body"/>
        <w:rPr>
          <w:bCs/>
          <w:color w:val="000000" w:themeColor="text1"/>
        </w:rPr>
      </w:pPr>
      <w:r w:rsidRPr="007B0530">
        <w:rPr>
          <w:bCs/>
          <w:color w:val="000000" w:themeColor="text1"/>
        </w:rPr>
        <w:t xml:space="preserve">A </w:t>
      </w:r>
      <w:r>
        <w:rPr>
          <w:bCs/>
          <w:color w:val="000000" w:themeColor="text1"/>
        </w:rPr>
        <w:t>Noteholder</w:t>
      </w:r>
      <w:r w:rsidRPr="007B0530">
        <w:rPr>
          <w:bCs/>
          <w:color w:val="000000" w:themeColor="text1"/>
        </w:rPr>
        <w:t xml:space="preserve"> who is a Sanctions Restricted Person may not participate in the </w:t>
      </w:r>
      <w:r>
        <w:t>Tender</w:t>
      </w:r>
      <w:r w:rsidRPr="00CD7901">
        <w:t xml:space="preserve"> </w:t>
      </w:r>
      <w:r w:rsidRPr="007B0530">
        <w:rPr>
          <w:bCs/>
          <w:color w:val="000000" w:themeColor="text1"/>
        </w:rPr>
        <w:t xml:space="preserve">Offer. No Notes purported to be tendered by a Sanctions Restricted Person pursuant to this </w:t>
      </w:r>
      <w:r w:rsidR="005C4C34">
        <w:rPr>
          <w:color w:val="000000" w:themeColor="text1"/>
        </w:rPr>
        <w:t>Tender Offer Memorandum</w:t>
      </w:r>
      <w:r w:rsidRPr="007B0530">
        <w:rPr>
          <w:bCs/>
          <w:color w:val="000000" w:themeColor="text1"/>
        </w:rPr>
        <w:t xml:space="preserve"> will be accepted for purchase and no Sanctions Restricted Person will be eligible to receive any monetary amount in respect of any </w:t>
      </w:r>
      <w:r>
        <w:rPr>
          <w:bCs/>
          <w:color w:val="000000" w:themeColor="text1"/>
        </w:rPr>
        <w:t>Purchase Price or</w:t>
      </w:r>
      <w:r w:rsidRPr="007B0530">
        <w:rPr>
          <w:bCs/>
          <w:color w:val="000000" w:themeColor="text1"/>
        </w:rPr>
        <w:t xml:space="preserve"> Accrued Interest </w:t>
      </w:r>
      <w:r w:rsidR="00F56C9A">
        <w:rPr>
          <w:bCs/>
          <w:color w:val="000000" w:themeColor="text1"/>
        </w:rPr>
        <w:t>under</w:t>
      </w:r>
      <w:r w:rsidRPr="007B0530" w:rsidR="00F56C9A">
        <w:rPr>
          <w:bCs/>
          <w:color w:val="000000" w:themeColor="text1"/>
        </w:rPr>
        <w:t xml:space="preserve"> </w:t>
      </w:r>
      <w:r w:rsidRPr="007B0530">
        <w:rPr>
          <w:bCs/>
          <w:color w:val="000000" w:themeColor="text1"/>
        </w:rPr>
        <w:t>any circumstances.</w:t>
      </w:r>
      <w:r w:rsidRPr="009F0CEE" w:rsidR="009F0CEE">
        <w:rPr>
          <w:bCs/>
          <w:color w:val="000000" w:themeColor="text1"/>
        </w:rPr>
        <w:t xml:space="preserve"> </w:t>
      </w:r>
      <w:r w:rsidRPr="007B0530">
        <w:rPr>
          <w:bCs/>
          <w:color w:val="000000" w:themeColor="text1"/>
        </w:rPr>
        <w:t xml:space="preserve">The </w:t>
      </w:r>
      <w:r>
        <w:t>Offeror</w:t>
      </w:r>
      <w:r w:rsidRPr="007B0530">
        <w:rPr>
          <w:bCs/>
          <w:color w:val="000000" w:themeColor="text1"/>
        </w:rPr>
        <w:t xml:space="preserve">, in </w:t>
      </w:r>
      <w:r w:rsidR="00980E44">
        <w:rPr>
          <w:bCs/>
          <w:color w:val="000000" w:themeColor="text1"/>
        </w:rPr>
        <w:t xml:space="preserve">its </w:t>
      </w:r>
      <w:r w:rsidRPr="007B0530">
        <w:rPr>
          <w:bCs/>
          <w:color w:val="000000" w:themeColor="text1"/>
        </w:rPr>
        <w:t>discretion, reserve</w:t>
      </w:r>
      <w:r w:rsidR="00E023CE">
        <w:rPr>
          <w:bCs/>
          <w:color w:val="000000" w:themeColor="text1"/>
        </w:rPr>
        <w:t>s</w:t>
      </w:r>
      <w:r w:rsidRPr="007B0530">
        <w:rPr>
          <w:bCs/>
          <w:color w:val="000000" w:themeColor="text1"/>
        </w:rPr>
        <w:t xml:space="preserve"> the absolute right not to accept the tender of any Notes </w:t>
      </w:r>
      <w:r w:rsidR="003B10F7">
        <w:rPr>
          <w:bCs/>
          <w:color w:val="000000" w:themeColor="text1"/>
        </w:rPr>
        <w:t xml:space="preserve">provided </w:t>
      </w:r>
      <w:r w:rsidRPr="007B0530">
        <w:rPr>
          <w:bCs/>
          <w:color w:val="000000" w:themeColor="text1"/>
        </w:rPr>
        <w:t xml:space="preserve">by a person whom </w:t>
      </w:r>
      <w:r w:rsidR="00E90928">
        <w:rPr>
          <w:bCs/>
          <w:color w:val="000000" w:themeColor="text1"/>
        </w:rPr>
        <w:t>it has</w:t>
      </w:r>
      <w:r w:rsidRPr="007B0530">
        <w:rPr>
          <w:bCs/>
          <w:color w:val="000000" w:themeColor="text1"/>
        </w:rPr>
        <w:t xml:space="preserve"> reason to believe is or may be a Sanctions Restricted Person. </w:t>
      </w:r>
      <w:r w:rsidRPr="003B10F7" w:rsidR="003B10F7">
        <w:rPr>
          <w:bCs/>
          <w:color w:val="000000" w:themeColor="text1"/>
        </w:rPr>
        <w:t xml:space="preserve">By submitting a valid </w:t>
      </w:r>
      <w:r w:rsidR="003B10F7">
        <w:rPr>
          <w:bCs/>
          <w:color w:val="000000" w:themeColor="text1"/>
        </w:rPr>
        <w:t xml:space="preserve">Tender Instruction </w:t>
      </w:r>
      <w:r w:rsidRPr="003B10F7" w:rsidR="003B10F7">
        <w:rPr>
          <w:bCs/>
          <w:color w:val="000000" w:themeColor="text1"/>
        </w:rPr>
        <w:t xml:space="preserve">to the relevant Clearing System in accordance with the standard procedures of such Clearing System, the relevant Noteholder and any Direct Participant submitting such Tender Instruction on such Noteholder’s behalf shall be deemed to agree to, acknowledge, represent, warrant and undertake to </w:t>
      </w:r>
      <w:r w:rsidR="00F3400A">
        <w:rPr>
          <w:bCs/>
          <w:color w:val="000000" w:themeColor="text1"/>
        </w:rPr>
        <w:t>the Offeror</w:t>
      </w:r>
      <w:r w:rsidR="00F27E3F">
        <w:rPr>
          <w:bCs/>
          <w:color w:val="000000" w:themeColor="text1"/>
        </w:rPr>
        <w:t xml:space="preserve"> </w:t>
      </w:r>
      <w:r w:rsidR="00F3400A">
        <w:rPr>
          <w:bCs/>
          <w:color w:val="000000" w:themeColor="text1"/>
        </w:rPr>
        <w:t xml:space="preserve">and </w:t>
      </w:r>
      <w:r w:rsidRPr="003B10F7" w:rsidR="003B10F7">
        <w:rPr>
          <w:bCs/>
          <w:color w:val="000000" w:themeColor="text1"/>
        </w:rPr>
        <w:t xml:space="preserve">the </w:t>
      </w:r>
      <w:r w:rsidR="0027613F">
        <w:rPr>
          <w:bCs/>
          <w:color w:val="000000" w:themeColor="text1"/>
        </w:rPr>
        <w:t>Tender Agent</w:t>
      </w:r>
      <w:r w:rsidRPr="003B10F7" w:rsidR="003B10F7">
        <w:rPr>
          <w:bCs/>
          <w:color w:val="000000" w:themeColor="text1"/>
        </w:rPr>
        <w:t xml:space="preserve"> that they are not a Sanctions Restricted Person.</w:t>
      </w:r>
      <w:r w:rsidR="003B10F7">
        <w:rPr>
          <w:bCs/>
          <w:color w:val="000000" w:themeColor="text1"/>
        </w:rPr>
        <w:t xml:space="preserve"> </w:t>
      </w:r>
      <w:r w:rsidRPr="007B0530">
        <w:rPr>
          <w:bCs/>
          <w:color w:val="000000" w:themeColor="text1"/>
        </w:rPr>
        <w:t xml:space="preserve">The restrictions described in this paragraph shall not apply </w:t>
      </w:r>
      <w:r>
        <w:rPr>
          <w:bCs/>
          <w:color w:val="000000" w:themeColor="text1"/>
        </w:rPr>
        <w:t xml:space="preserve">to any person </w:t>
      </w:r>
      <w:r w:rsidRPr="007B0530">
        <w:rPr>
          <w:bCs/>
          <w:color w:val="000000" w:themeColor="text1"/>
        </w:rPr>
        <w:t xml:space="preserve">if and to the extent that it is or would be unenforceable by or in respect of that person by reason of breach of </w:t>
      </w:r>
      <w:r w:rsidRPr="00B43B5A">
        <w:rPr>
          <w:bCs/>
          <w:color w:val="000000" w:themeColor="text1"/>
        </w:rPr>
        <w:t>(</w:t>
      </w:r>
      <w:proofErr w:type="spellStart"/>
      <w:r w:rsidRPr="00B43B5A">
        <w:rPr>
          <w:bCs/>
          <w:color w:val="000000" w:themeColor="text1"/>
        </w:rPr>
        <w:t>i</w:t>
      </w:r>
      <w:proofErr w:type="spellEnd"/>
      <w:r w:rsidRPr="00B43B5A">
        <w:rPr>
          <w:bCs/>
          <w:color w:val="000000" w:themeColor="text1"/>
        </w:rPr>
        <w:t xml:space="preserve">) the EU Blocking Regulation and/or any law or regulation implementing the EU Blocking Regulation in any member state of the </w:t>
      </w:r>
      <w:r>
        <w:rPr>
          <w:bCs/>
          <w:color w:val="000000" w:themeColor="text1"/>
        </w:rPr>
        <w:t>European</w:t>
      </w:r>
      <w:r w:rsidRPr="00B43B5A">
        <w:rPr>
          <w:bCs/>
          <w:color w:val="000000" w:themeColor="text1"/>
        </w:rPr>
        <w:t xml:space="preserve"> Union or (ii) any similar and applicable anti-blocking law in the United Kingdom (including the EU Blocking Regulation as it forms part of domestic law by virtue of the </w:t>
      </w:r>
      <w:r>
        <w:rPr>
          <w:bCs/>
          <w:color w:val="000000" w:themeColor="text1"/>
        </w:rPr>
        <w:t>European</w:t>
      </w:r>
      <w:r w:rsidRPr="00B43B5A">
        <w:rPr>
          <w:bCs/>
          <w:color w:val="000000" w:themeColor="text1"/>
        </w:rPr>
        <w:t xml:space="preserve"> Union (Withdrawal) Act 2018)</w:t>
      </w:r>
      <w:r w:rsidRPr="007B0530">
        <w:rPr>
          <w:bCs/>
          <w:color w:val="000000" w:themeColor="text1"/>
        </w:rPr>
        <w:t>.</w:t>
      </w:r>
    </w:p>
    <w:p w:rsidRPr="00F3124C" w:rsidR="002E1F8E" w:rsidP="002E1F8E" w:rsidRDefault="006511CB" w14:paraId="67223FF1" w14:textId="761C83B2">
      <w:pPr>
        <w:pStyle w:val="Head"/>
      </w:pPr>
      <w:bookmarkStart w:name="_Toc122976068" w:id="35"/>
      <w:r w:rsidRPr="006511CB">
        <w:lastRenderedPageBreak/>
        <w:t xml:space="preserve">No </w:t>
      </w:r>
      <w:r>
        <w:t>I</w:t>
      </w:r>
      <w:r w:rsidRPr="006511CB">
        <w:t xml:space="preserve">ndication of </w:t>
      </w:r>
      <w:r>
        <w:t>F</w:t>
      </w:r>
      <w:r w:rsidRPr="006511CB">
        <w:t xml:space="preserve">uture </w:t>
      </w:r>
      <w:r>
        <w:t>I</w:t>
      </w:r>
      <w:r w:rsidRPr="006511CB">
        <w:t xml:space="preserve">ntentions of </w:t>
      </w:r>
      <w:r w:rsidR="000F1BDC">
        <w:t>the Offeror</w:t>
      </w:r>
      <w:bookmarkEnd w:id="35"/>
      <w:r w:rsidR="000F1BDC">
        <w:t xml:space="preserve"> </w:t>
      </w:r>
    </w:p>
    <w:p w:rsidRPr="00742DEE" w:rsidR="002E1F8E" w:rsidP="002E1F8E" w:rsidRDefault="001C4EB6" w14:paraId="27FBDFA3" w14:textId="5B6BE2B0">
      <w:pPr>
        <w:pStyle w:val="Body"/>
      </w:pPr>
      <w:r w:rsidRPr="001C4EB6">
        <w:t xml:space="preserve">The making of the </w:t>
      </w:r>
      <w:r>
        <w:t>Tender Offer</w:t>
      </w:r>
      <w:r w:rsidRPr="001C4EB6">
        <w:t xml:space="preserve"> by the </w:t>
      </w:r>
      <w:r>
        <w:t xml:space="preserve">Offeror </w:t>
      </w:r>
      <w:r w:rsidRPr="001C4EB6">
        <w:t xml:space="preserve">should not be taken as any indication of any future intentions of </w:t>
      </w:r>
      <w:r w:rsidR="000F1BDC">
        <w:t xml:space="preserve">the Offeror </w:t>
      </w:r>
      <w:r w:rsidRPr="001C4EB6">
        <w:t>with respect to the Notes</w:t>
      </w:r>
      <w:r w:rsidRPr="00742DEE" w:rsidR="002E1F8E">
        <w:t>.</w:t>
      </w:r>
    </w:p>
    <w:p w:rsidRPr="00F3124C" w:rsidR="005003BC" w:rsidP="00F3124C" w:rsidRDefault="005003BC" w14:paraId="51FEE2F0" w14:textId="77777777">
      <w:pPr>
        <w:pStyle w:val="Head"/>
      </w:pPr>
      <w:bookmarkStart w:name="_Toc122976069" w:id="36"/>
      <w:r w:rsidRPr="00742DEE">
        <w:t>Taxation Consequences</w:t>
      </w:r>
      <w:bookmarkEnd w:id="36"/>
    </w:p>
    <w:p w:rsidRPr="00742DEE" w:rsidR="005003BC" w:rsidP="00E85B4E" w:rsidRDefault="005003BC" w14:paraId="3A54FA63" w14:textId="30DFC279">
      <w:pPr>
        <w:pStyle w:val="Body"/>
      </w:pPr>
      <w:r w:rsidRPr="00742DEE">
        <w:t xml:space="preserve">There may be taxation </w:t>
      </w:r>
      <w:r w:rsidR="00CC1CDC">
        <w:t>consequences</w:t>
      </w:r>
      <w:r w:rsidRPr="00742DEE" w:rsidR="00CC1CDC">
        <w:t xml:space="preserve"> </w:t>
      </w:r>
      <w:r w:rsidRPr="00742DEE">
        <w:t xml:space="preserve">for Noteholders in tendering Notes in the </w:t>
      </w:r>
      <w:r>
        <w:t>Tender</w:t>
      </w:r>
      <w:r w:rsidRPr="00CD7901">
        <w:t xml:space="preserve"> </w:t>
      </w:r>
      <w:r w:rsidRPr="00742DEE">
        <w:t xml:space="preserve">Offer. Each Noteholder is urged to consult its own professional advisers regarding these possible tax consequences under the laws of the jurisdictions that apply to it or to the sale of its Notes and its receipt of the </w:t>
      </w:r>
      <w:r>
        <w:t xml:space="preserve">relevant </w:t>
      </w:r>
      <w:r w:rsidRPr="00F7389B">
        <w:t xml:space="preserve">Purchase Price </w:t>
      </w:r>
      <w:r w:rsidR="00907199">
        <w:t xml:space="preserve">Payment </w:t>
      </w:r>
      <w:r w:rsidRPr="00F7389B">
        <w:t>and the Accrued Interest Payment</w:t>
      </w:r>
      <w:r w:rsidRPr="00742DEE">
        <w:t xml:space="preserve"> in respect of Notes validly tendered by it and accepted for purchase by the </w:t>
      </w:r>
      <w:r>
        <w:t>Offeror</w:t>
      </w:r>
      <w:r w:rsidRPr="00742DEE">
        <w:t>.</w:t>
      </w:r>
    </w:p>
    <w:p w:rsidRPr="00F3124C" w:rsidR="005003BC" w:rsidP="00F3124C" w:rsidRDefault="005003BC" w14:paraId="691682B3" w14:textId="77777777">
      <w:pPr>
        <w:pStyle w:val="Head"/>
      </w:pPr>
      <w:bookmarkStart w:name="_Toc122976070" w:id="37"/>
      <w:r w:rsidRPr="00742DEE">
        <w:t>Minimum Denomination of Notes</w:t>
      </w:r>
      <w:bookmarkEnd w:id="37"/>
    </w:p>
    <w:p w:rsidRPr="009F4751" w:rsidR="005003BC" w:rsidP="00E85B4E" w:rsidRDefault="005003BC" w14:paraId="1FA10BF5" w14:textId="71571E8A">
      <w:pPr>
        <w:pStyle w:val="Body"/>
      </w:pPr>
      <w:r w:rsidRPr="00357B6B">
        <w:t xml:space="preserve">The Notes have </w:t>
      </w:r>
      <w:r>
        <w:t>the Minimum Denomination</w:t>
      </w:r>
      <w:r w:rsidRPr="00357B6B">
        <w:t xml:space="preserve"> of </w:t>
      </w:r>
      <w:r>
        <w:t>U.S.$2,000</w:t>
      </w:r>
      <w:r w:rsidRPr="00357B6B">
        <w:t xml:space="preserve">. A </w:t>
      </w:r>
      <w:r>
        <w:t>Noteholder</w:t>
      </w:r>
      <w:r w:rsidRPr="00357B6B">
        <w:t xml:space="preserve"> whose Notes are accepted for purchase pursuant to the </w:t>
      </w:r>
      <w:r>
        <w:t>Tender</w:t>
      </w:r>
      <w:r w:rsidRPr="00CD7901">
        <w:t xml:space="preserve"> </w:t>
      </w:r>
      <w:r w:rsidRPr="00357B6B">
        <w:t xml:space="preserve">Offer and who, following purchase of the Notes on </w:t>
      </w:r>
      <w:r w:rsidRPr="00183A3C">
        <w:t xml:space="preserve">the </w:t>
      </w:r>
      <w:r w:rsidRPr="0073477E">
        <w:t>Settlement</w:t>
      </w:r>
      <w:r>
        <w:t xml:space="preserve"> Date</w:t>
      </w:r>
      <w:r w:rsidRPr="00357B6B">
        <w:t xml:space="preserve">, continues to hold in its account with the relevant Clearing System further Notes in an aggregate principal amount of less than the </w:t>
      </w:r>
      <w:r>
        <w:t>M</w:t>
      </w:r>
      <w:r w:rsidRPr="00357B6B">
        <w:t xml:space="preserve">inimum </w:t>
      </w:r>
      <w:r>
        <w:t>D</w:t>
      </w:r>
      <w:r w:rsidRPr="00357B6B">
        <w:t xml:space="preserve">enomination, would need to purchase a principal amount of Notes such that its holding amounts to at least the </w:t>
      </w:r>
      <w:r>
        <w:t>M</w:t>
      </w:r>
      <w:r w:rsidRPr="00357B6B">
        <w:t xml:space="preserve">inimum </w:t>
      </w:r>
      <w:r>
        <w:t>D</w:t>
      </w:r>
      <w:r w:rsidRPr="00357B6B">
        <w:t>enomination</w:t>
      </w:r>
      <w:r w:rsidRPr="007E1088">
        <w:t xml:space="preserve"> </w:t>
      </w:r>
      <w:r w:rsidRPr="00357B6B">
        <w:t>before (</w:t>
      </w:r>
      <w:proofErr w:type="spellStart"/>
      <w:r w:rsidRPr="00357B6B">
        <w:t>i</w:t>
      </w:r>
      <w:proofErr w:type="spellEnd"/>
      <w:r w:rsidRPr="00357B6B">
        <w:t>) the Notes it continues to hold may be traded in the Clearing Systems or (ii) it may receive a definitive Note in respect of such holding (should definitive Notes be printed).</w:t>
      </w:r>
    </w:p>
    <w:p w:rsidRPr="00F3124C" w:rsidR="005003BC" w:rsidP="00F3124C" w:rsidRDefault="005003BC" w14:paraId="0054844F" w14:textId="77777777">
      <w:pPr>
        <w:pStyle w:val="Head"/>
      </w:pPr>
      <w:bookmarkStart w:name="_Toc122976071" w:id="38"/>
      <w:r w:rsidRPr="00F3124C">
        <w:t>The Purchase Price payable to each Noteholder will not be the same</w:t>
      </w:r>
      <w:bookmarkEnd w:id="38"/>
    </w:p>
    <w:p w:rsidR="005003BC" w:rsidP="00E85B4E" w:rsidRDefault="005003BC" w14:paraId="4564770F" w14:textId="6B417B2D">
      <w:pPr>
        <w:pStyle w:val="Body"/>
      </w:pPr>
      <w:r>
        <w:t xml:space="preserve">As the relevant Purchase Price applicable to each Noteholder who submits a valid </w:t>
      </w:r>
      <w:r w:rsidRPr="0066469D">
        <w:t>Tender Instruction</w:t>
      </w:r>
      <w:r>
        <w:t xml:space="preserve"> that is accepted by the Offeror will be the particular Submitted </w:t>
      </w:r>
      <w:r w:rsidRPr="001B505F">
        <w:t xml:space="preserve">Purchase </w:t>
      </w:r>
      <w:r>
        <w:t xml:space="preserve">Price specified by such Noteholder in the relevant </w:t>
      </w:r>
      <w:r w:rsidRPr="0066469D">
        <w:t>Tender Instruction</w:t>
      </w:r>
      <w:r>
        <w:t>, the Purchase Price payable to each Noteholder will not be the same.</w:t>
      </w:r>
    </w:p>
    <w:p w:rsidRPr="002E7687" w:rsidR="003E746F" w:rsidP="00E85B4E" w:rsidRDefault="003E746F" w14:paraId="4A1F5AD1" w14:textId="77777777">
      <w:pPr>
        <w:pStyle w:val="Body"/>
      </w:pPr>
    </w:p>
    <w:p w:rsidR="005003BC" w:rsidP="00E85B4E" w:rsidRDefault="00F3124C" w14:paraId="0962EB64" w14:textId="1AA62C88">
      <w:pPr>
        <w:pStyle w:val="Head-C"/>
      </w:pPr>
      <w:bookmarkStart w:name="_Toc122976072" w:id="39"/>
      <w:r w:rsidRPr="00742DEE">
        <w:lastRenderedPageBreak/>
        <w:t>TAX CONSEQUENCES</w:t>
      </w:r>
      <w:bookmarkEnd w:id="39"/>
    </w:p>
    <w:p w:rsidRPr="009A231C" w:rsidR="005003BC" w:rsidP="00E85B4E" w:rsidRDefault="005003BC" w14:paraId="32ED237C" w14:textId="625B08F1">
      <w:pPr>
        <w:pStyle w:val="Body"/>
      </w:pPr>
      <w:r w:rsidRPr="00063FA2">
        <w:rPr>
          <w:b/>
          <w:bCs/>
        </w:rPr>
        <w:t xml:space="preserve">IN VIEW OF THE NUMBER OF DIFFERENT JURISDICTIONS WHERE TAX LAWS MAY APPLY TO A NOTEHOLDER, THIS </w:t>
      </w:r>
      <w:r w:rsidR="005C4C34">
        <w:rPr>
          <w:b/>
        </w:rPr>
        <w:t>TENDER OFFER MEMORANDUM</w:t>
      </w:r>
      <w:r w:rsidRPr="00742DEE">
        <w:rPr>
          <w:b/>
        </w:rPr>
        <w:t xml:space="preserve"> </w:t>
      </w:r>
      <w:r w:rsidRPr="00063FA2">
        <w:rPr>
          <w:b/>
          <w:bCs/>
        </w:rPr>
        <w:t xml:space="preserve">GENERALLY DOES NOT DISCUSS THE TAX CONSEQUENCES FOR NOTEHOLDERS ARISING FROM THE PURCHASE OF NOTES BY THE </w:t>
      </w:r>
      <w:r>
        <w:rPr>
          <w:b/>
          <w:bCs/>
        </w:rPr>
        <w:t>OFFEROR</w:t>
      </w:r>
      <w:r w:rsidRPr="00063FA2">
        <w:rPr>
          <w:b/>
          <w:bCs/>
        </w:rPr>
        <w:t xml:space="preserve"> PURSUANT TO THE</w:t>
      </w:r>
      <w:r>
        <w:rPr>
          <w:b/>
          <w:bCs/>
        </w:rPr>
        <w:t xml:space="preserve"> TENDER</w:t>
      </w:r>
      <w:r w:rsidRPr="00063FA2">
        <w:rPr>
          <w:b/>
          <w:bCs/>
        </w:rPr>
        <w:t xml:space="preserve"> OFFER. NOTEHOLDERS ARE URGED TO CONSULT THEIR OWN PROFESSIONAL ADVISERS REGARDING THESE POSSIBLE TAX CONSEQUENCES UNDER THE LAWS OF THE JURISDICTIONS THAT APPLY TO THEM</w:t>
      </w:r>
      <w:r w:rsidR="004B160D">
        <w:rPr>
          <w:b/>
          <w:bCs/>
        </w:rPr>
        <w:t>,</w:t>
      </w:r>
      <w:r w:rsidRPr="00063FA2">
        <w:rPr>
          <w:b/>
          <w:bCs/>
        </w:rPr>
        <w:t xml:space="preserve"> TO THE SALE OF THEIR NOTES AND THE RECEIPT PURSUANT TO THE </w:t>
      </w:r>
      <w:r>
        <w:rPr>
          <w:b/>
          <w:bCs/>
        </w:rPr>
        <w:t xml:space="preserve">TENDER </w:t>
      </w:r>
      <w:r w:rsidRPr="00063FA2">
        <w:rPr>
          <w:b/>
          <w:bCs/>
        </w:rPr>
        <w:t xml:space="preserve">OFFER OF THE </w:t>
      </w:r>
      <w:r>
        <w:rPr>
          <w:b/>
          <w:bCs/>
        </w:rPr>
        <w:t>PURCHASE PRICE PAYMENTS AND</w:t>
      </w:r>
      <w:r w:rsidRPr="00063FA2">
        <w:rPr>
          <w:b/>
          <w:bCs/>
        </w:rPr>
        <w:t xml:space="preserve"> THE ACCRUED INTEREST PAYMENT</w:t>
      </w:r>
      <w:r>
        <w:rPr>
          <w:b/>
          <w:bCs/>
        </w:rPr>
        <w:t>S</w:t>
      </w:r>
      <w:r w:rsidRPr="00063FA2">
        <w:rPr>
          <w:b/>
          <w:bCs/>
        </w:rPr>
        <w:t xml:space="preserve">. NOTEHOLDERS ARE LIABLE FOR THEIR OWN TAXES AND HAVE NO RECOURSE TO THE </w:t>
      </w:r>
      <w:r>
        <w:rPr>
          <w:b/>
          <w:bCs/>
        </w:rPr>
        <w:t>OFFEROR</w:t>
      </w:r>
      <w:r w:rsidR="0008036F">
        <w:rPr>
          <w:b/>
          <w:bCs/>
        </w:rPr>
        <w:t xml:space="preserve"> </w:t>
      </w:r>
      <w:r w:rsidRPr="00063FA2">
        <w:rPr>
          <w:b/>
          <w:bCs/>
        </w:rPr>
        <w:t xml:space="preserve">OR THE </w:t>
      </w:r>
      <w:r w:rsidR="0027613F">
        <w:rPr>
          <w:b/>
          <w:bCs/>
        </w:rPr>
        <w:t>TENDER AGENT</w:t>
      </w:r>
      <w:r w:rsidRPr="00843209" w:rsidR="00843209">
        <w:rPr>
          <w:b/>
          <w:bCs/>
        </w:rPr>
        <w:t xml:space="preserve"> </w:t>
      </w:r>
      <w:r w:rsidRPr="00063FA2">
        <w:rPr>
          <w:b/>
          <w:bCs/>
        </w:rPr>
        <w:t xml:space="preserve">WITH RESPECT TO TAXES ARISING IN CONNECTION WITH THE </w:t>
      </w:r>
      <w:r>
        <w:rPr>
          <w:b/>
          <w:bCs/>
        </w:rPr>
        <w:t xml:space="preserve">TENDER </w:t>
      </w:r>
      <w:r w:rsidRPr="00063FA2">
        <w:rPr>
          <w:b/>
          <w:bCs/>
        </w:rPr>
        <w:t>OFFER.</w:t>
      </w:r>
    </w:p>
    <w:p w:rsidRPr="00F678DA" w:rsidR="005003BC" w:rsidP="00F3124C" w:rsidRDefault="005003BC" w14:paraId="4E7722D0" w14:textId="77777777">
      <w:pPr>
        <w:pStyle w:val="Body"/>
        <w:rPr>
          <w:rFonts w:eastAsia="SimSun"/>
        </w:rPr>
      </w:pPr>
    </w:p>
    <w:p w:rsidRPr="00742DEE" w:rsidR="005003BC" w:rsidP="00E85B4E" w:rsidRDefault="00F3124C" w14:paraId="4B7F6C70" w14:textId="7F87608B">
      <w:pPr>
        <w:pStyle w:val="Head-C"/>
      </w:pPr>
      <w:bookmarkStart w:name="_Toc122976073" w:id="40"/>
      <w:r w:rsidRPr="00264E82">
        <w:lastRenderedPageBreak/>
        <w:t xml:space="preserve">PROCEDURES FOR PARTICIPATING IN THE </w:t>
      </w:r>
      <w:r>
        <w:t xml:space="preserve">TENDER </w:t>
      </w:r>
      <w:r w:rsidRPr="00264E82">
        <w:t>OFFER</w:t>
      </w:r>
      <w:bookmarkEnd w:id="40"/>
      <w:r>
        <w:t xml:space="preserve"> </w:t>
      </w:r>
    </w:p>
    <w:p w:rsidRPr="00742DEE" w:rsidR="005003BC" w:rsidP="00914F5A" w:rsidRDefault="005003BC" w14:paraId="726FED96" w14:textId="28F91998">
      <w:pPr>
        <w:pStyle w:val="Body"/>
        <w:rPr>
          <w:i/>
        </w:rPr>
      </w:pPr>
      <w:r w:rsidRPr="00742DEE">
        <w:rPr>
          <w:i/>
        </w:rPr>
        <w:t xml:space="preserve">Noteholders who need assistance with respect to the procedures for participating in the </w:t>
      </w:r>
      <w:r>
        <w:rPr>
          <w:i/>
        </w:rPr>
        <w:t xml:space="preserve">Tender </w:t>
      </w:r>
      <w:r w:rsidRPr="00742DEE">
        <w:rPr>
          <w:i/>
        </w:rPr>
        <w:t xml:space="preserve">Offer should contact the </w:t>
      </w:r>
      <w:r>
        <w:rPr>
          <w:i/>
        </w:rPr>
        <w:t xml:space="preserve">bank, </w:t>
      </w:r>
      <w:r w:rsidRPr="00087699">
        <w:rPr>
          <w:i/>
        </w:rPr>
        <w:t xml:space="preserve">securities </w:t>
      </w:r>
      <w:r>
        <w:rPr>
          <w:i/>
        </w:rPr>
        <w:t xml:space="preserve">broker </w:t>
      </w:r>
      <w:r w:rsidRPr="00D75582">
        <w:rPr>
          <w:i/>
        </w:rPr>
        <w:t xml:space="preserve">or other </w:t>
      </w:r>
      <w:r>
        <w:rPr>
          <w:i/>
        </w:rPr>
        <w:t>clearing system participant</w:t>
      </w:r>
      <w:r w:rsidRPr="00D75582">
        <w:rPr>
          <w:i/>
        </w:rPr>
        <w:t xml:space="preserve"> through which they hold </w:t>
      </w:r>
      <w:r>
        <w:rPr>
          <w:i/>
        </w:rPr>
        <w:t xml:space="preserve">the </w:t>
      </w:r>
      <w:r w:rsidRPr="00D75582">
        <w:rPr>
          <w:i/>
        </w:rPr>
        <w:t xml:space="preserve">Notes </w:t>
      </w:r>
      <w:r>
        <w:rPr>
          <w:i/>
        </w:rPr>
        <w:t xml:space="preserve">or they may contact the </w:t>
      </w:r>
      <w:r w:rsidR="0027613F">
        <w:rPr>
          <w:i/>
        </w:rPr>
        <w:t>Tender Agent</w:t>
      </w:r>
      <w:r>
        <w:rPr>
          <w:i/>
        </w:rPr>
        <w:t xml:space="preserve"> whose</w:t>
      </w:r>
      <w:r w:rsidRPr="00742DEE">
        <w:rPr>
          <w:i/>
        </w:rPr>
        <w:t xml:space="preserve"> contact details are on the last page of this </w:t>
      </w:r>
      <w:r w:rsidR="005C4C34">
        <w:rPr>
          <w:i/>
        </w:rPr>
        <w:t>Tender Offer Memorandum</w:t>
      </w:r>
      <w:r w:rsidRPr="00742DEE">
        <w:rPr>
          <w:i/>
        </w:rPr>
        <w:t>.</w:t>
      </w:r>
    </w:p>
    <w:p w:rsidRPr="00742DEE" w:rsidR="005003BC" w:rsidP="00914F5A" w:rsidRDefault="005003BC" w14:paraId="4AFA78B8" w14:textId="77777777">
      <w:pPr>
        <w:pStyle w:val="Head"/>
      </w:pPr>
      <w:bookmarkStart w:name="_Toc122976074" w:id="41"/>
      <w:r w:rsidRPr="00742DEE">
        <w:t>General</w:t>
      </w:r>
      <w:bookmarkEnd w:id="41"/>
    </w:p>
    <w:p w:rsidR="005003BC" w:rsidP="00914F5A" w:rsidRDefault="005003BC" w14:paraId="05F613F9" w14:textId="7757A499">
      <w:pPr>
        <w:pStyle w:val="Body"/>
      </w:pPr>
      <w:r w:rsidRPr="00742DEE">
        <w:t xml:space="preserve">The </w:t>
      </w:r>
      <w:r>
        <w:t xml:space="preserve">Offeror </w:t>
      </w:r>
      <w:r w:rsidRPr="00742DEE">
        <w:t xml:space="preserve">will only accept tenders of Notes for purchase pursuant to the </w:t>
      </w:r>
      <w:r>
        <w:t>Tender</w:t>
      </w:r>
      <w:r w:rsidRPr="00CD7901">
        <w:t xml:space="preserve"> </w:t>
      </w:r>
      <w:r w:rsidRPr="00742DEE">
        <w:t xml:space="preserve">Offer which are made by way of the submission of valid </w:t>
      </w:r>
      <w:r w:rsidRPr="00CA16B3">
        <w:t>Tender Instruction</w:t>
      </w:r>
      <w:r>
        <w:t>s</w:t>
      </w:r>
      <w:r w:rsidRPr="00742DEE">
        <w:t xml:space="preserve"> in accordance with the procedures set out in this section </w:t>
      </w:r>
      <w:r>
        <w:t>“</w:t>
      </w:r>
      <w:r w:rsidRPr="00742DEE">
        <w:rPr>
          <w:i/>
        </w:rPr>
        <w:t xml:space="preserve">Procedures for Participating in the </w:t>
      </w:r>
      <w:r>
        <w:rPr>
          <w:i/>
        </w:rPr>
        <w:t xml:space="preserve">Tender </w:t>
      </w:r>
      <w:r w:rsidRPr="00742DEE">
        <w:rPr>
          <w:i/>
        </w:rPr>
        <w:t>Offer</w:t>
      </w:r>
      <w:r>
        <w:t>”</w:t>
      </w:r>
      <w:r w:rsidRPr="00742DEE">
        <w:t>.</w:t>
      </w:r>
    </w:p>
    <w:p w:rsidRPr="003A2ACD" w:rsidR="005003BC" w:rsidP="003A2ACD" w:rsidRDefault="005003BC" w14:paraId="58B0F462" w14:textId="14F6DBB8">
      <w:pPr>
        <w:pStyle w:val="Body"/>
      </w:pPr>
      <w:r w:rsidRPr="00742DEE">
        <w:t xml:space="preserve">To tender Notes for purchase </w:t>
      </w:r>
      <w:r>
        <w:t>in</w:t>
      </w:r>
      <w:r w:rsidRPr="00742DEE">
        <w:t xml:space="preserve"> the </w:t>
      </w:r>
      <w:r>
        <w:t>Tender</w:t>
      </w:r>
      <w:r w:rsidRPr="00CD7901">
        <w:t xml:space="preserve"> </w:t>
      </w:r>
      <w:r w:rsidRPr="00742DEE">
        <w:t xml:space="preserve">Offer, a Noteholder should deliver, or arrange to have delivered on its behalf, via the relevant Clearing System and in accordance with the requirements of such Clearing System, </w:t>
      </w:r>
      <w:r w:rsidRPr="003C3B26">
        <w:t xml:space="preserve">a valid Tender Instruction that is received by the </w:t>
      </w:r>
      <w:r w:rsidR="0027613F">
        <w:t>Tender Agent</w:t>
      </w:r>
      <w:r w:rsidRPr="003C3B26">
        <w:t xml:space="preserve"> by the Expiration Deadline.</w:t>
      </w:r>
    </w:p>
    <w:p w:rsidRPr="0075216C" w:rsidR="005003BC" w:rsidP="00914F5A" w:rsidRDefault="005003BC" w14:paraId="1C1BCCD9" w14:textId="2525435F">
      <w:pPr>
        <w:pStyle w:val="Body"/>
      </w:pPr>
      <w:r w:rsidRPr="0075216C">
        <w:t xml:space="preserve">Only a Direct Participant in a Clearing System can properly instruct that Clearing System with regard to submitting Tender Instructions. In so instructing, the Direct Participant and the tendering Noteholder on whose behalf it is acting, will be deemed to have read and agreed to be bound by the terms and conditions of the Tender Offer contained in this </w:t>
      </w:r>
      <w:r w:rsidR="005C4C34">
        <w:t>Tender Offer Memorandum</w:t>
      </w:r>
      <w:r w:rsidRPr="0075216C">
        <w:t>.</w:t>
      </w:r>
    </w:p>
    <w:p w:rsidRPr="0075216C" w:rsidR="005003BC" w:rsidP="00914F5A" w:rsidRDefault="005003BC" w14:paraId="718E5D12" w14:textId="1F8C466D">
      <w:pPr>
        <w:pStyle w:val="Body"/>
      </w:pPr>
      <w:r w:rsidRPr="0075216C">
        <w:t xml:space="preserve">If a Noteholder holds its Notes through a custodian or other intermediary, such Noteholder may not submit a Tender Instruction directly. It should therefore contact its custodian or other intermediary to instruct its custodian or intermediary to submit a Tender Instruction on its behalf. In the event that the relevant custodian or intermediary is unable to submit a Tender Instruction on its behalf, the Noteholder should contact the </w:t>
      </w:r>
      <w:r w:rsidR="0027613F">
        <w:t>Tender Agent</w:t>
      </w:r>
      <w:r w:rsidRPr="0075216C">
        <w:t xml:space="preserve"> for assistance in submitting its Tender Instruction. There can be no assurance that the </w:t>
      </w:r>
      <w:r w:rsidR="0027613F">
        <w:t>Tender Agent</w:t>
      </w:r>
      <w:r w:rsidRPr="0075216C">
        <w:t xml:space="preserve"> will be able to assist any such Noteholders in successfully submitting a Tender Instruction.</w:t>
      </w:r>
    </w:p>
    <w:p w:rsidRPr="00512A54" w:rsidR="005003BC" w:rsidP="00914F5A" w:rsidRDefault="005003BC" w14:paraId="7D957D3D" w14:textId="5145805C">
      <w:pPr>
        <w:pStyle w:val="Body"/>
      </w:pPr>
      <w:r w:rsidRPr="0075216C">
        <w:t>Noteholders are urged to check with any bank, securities broker or other intermediary through which they hold Notes when such intermediary would need to receive instructions from a Noteholder in order for that Noteholder to be able to participate in</w:t>
      </w:r>
      <w:r>
        <w:t xml:space="preserve"> </w:t>
      </w:r>
      <w:r w:rsidRPr="0075216C">
        <w:t>the Tender Offer</w:t>
      </w:r>
      <w:r w:rsidRPr="00145F7A">
        <w:t xml:space="preserve"> </w:t>
      </w:r>
      <w:r w:rsidRPr="0075216C">
        <w:t xml:space="preserve">by the deadlines specified in this </w:t>
      </w:r>
      <w:r w:rsidR="005C4C34">
        <w:t>Tender Offer Memorandum</w:t>
      </w:r>
      <w:r w:rsidRPr="0075216C">
        <w:t xml:space="preserve">. </w:t>
      </w:r>
      <w:r w:rsidRPr="0075216C">
        <w:rPr>
          <w:b/>
        </w:rPr>
        <w:t xml:space="preserve">The deadlines set by any such intermediary and each Clearing System for the submission of Tender Instructions will be earlier than the relevant deadlines specified in this </w:t>
      </w:r>
      <w:r w:rsidR="005C4C34">
        <w:rPr>
          <w:b/>
        </w:rPr>
        <w:t>Tender Offer Memorandum</w:t>
      </w:r>
      <w:r w:rsidRPr="0075216C">
        <w:t>.</w:t>
      </w:r>
    </w:p>
    <w:p w:rsidRPr="00742DEE" w:rsidR="005003BC" w:rsidP="00914F5A" w:rsidRDefault="005003BC" w14:paraId="6AF2772E" w14:textId="77777777">
      <w:pPr>
        <w:pStyle w:val="Head"/>
      </w:pPr>
      <w:bookmarkStart w:name="_Toc122976075" w:id="42"/>
      <w:r>
        <w:t xml:space="preserve">Tender </w:t>
      </w:r>
      <w:r w:rsidRPr="00742DEE">
        <w:t>Instructions</w:t>
      </w:r>
      <w:bookmarkEnd w:id="42"/>
    </w:p>
    <w:p w:rsidR="005003BC" w:rsidP="00914F5A" w:rsidRDefault="005003BC" w14:paraId="72D320CF" w14:textId="77777777">
      <w:pPr>
        <w:pStyle w:val="Body"/>
      </w:pPr>
      <w:r w:rsidRPr="001C6A92">
        <w:t>Tender Instructions must be submitted in respect of a principal amount of Notes of no less than the Minimum Denomination and may be submitted in integral multiples of U.S.$1 thereafter.</w:t>
      </w:r>
    </w:p>
    <w:p w:rsidR="005003BC" w:rsidP="00766F71" w:rsidRDefault="005003BC" w14:paraId="690E343B" w14:textId="50234ED5">
      <w:pPr>
        <w:pStyle w:val="Body"/>
      </w:pPr>
      <w:r w:rsidRPr="00A165FE">
        <w:t>The tendering of Notes in the</w:t>
      </w:r>
      <w:r w:rsidRPr="002C19FF">
        <w:t xml:space="preserve"> </w:t>
      </w:r>
      <w:r>
        <w:t>Tender</w:t>
      </w:r>
      <w:r w:rsidRPr="00A165FE">
        <w:t xml:space="preserve"> Offer will be deemed to have occurred upon </w:t>
      </w:r>
      <w:r>
        <w:t xml:space="preserve">receipt by the </w:t>
      </w:r>
      <w:r w:rsidR="0027613F">
        <w:t>Tender Agent</w:t>
      </w:r>
      <w:r>
        <w:t xml:space="preserve"> via </w:t>
      </w:r>
      <w:r w:rsidRPr="00A165FE">
        <w:t xml:space="preserve">the relevant Clearing System of a valid </w:t>
      </w:r>
      <w:r w:rsidRPr="00D974B3">
        <w:t>Tender Instruction</w:t>
      </w:r>
      <w:r w:rsidRPr="00837AE0">
        <w:t xml:space="preserve"> </w:t>
      </w:r>
      <w:r w:rsidRPr="00A165FE">
        <w:t>submitted in accordance with the re</w:t>
      </w:r>
      <w:r>
        <w:t xml:space="preserve">quirements of </w:t>
      </w:r>
      <w:r w:rsidRPr="00A165FE">
        <w:t xml:space="preserve">such Clearing System. The </w:t>
      </w:r>
      <w:r w:rsidRPr="006962A3" w:rsidR="006962A3">
        <w:t>transmission or entry</w:t>
      </w:r>
      <w:r w:rsidRPr="00A165FE">
        <w:t xml:space="preserve"> of such </w:t>
      </w:r>
      <w:r w:rsidRPr="00D974B3">
        <w:t>Tender Instruction</w:t>
      </w:r>
      <w:r w:rsidRPr="00837AE0">
        <w:t xml:space="preserve"> </w:t>
      </w:r>
      <w:r w:rsidRPr="00A165FE">
        <w:t xml:space="preserve">by </w:t>
      </w:r>
      <w:r w:rsidRPr="004F08C5" w:rsidR="004F08C5">
        <w:t xml:space="preserve">or through </w:t>
      </w:r>
      <w:r w:rsidRPr="00A165FE">
        <w:t>the r</w:t>
      </w:r>
      <w:r>
        <w:t xml:space="preserve">elevant Clearing System will be </w:t>
      </w:r>
      <w:r w:rsidRPr="00A165FE">
        <w:t xml:space="preserve">acknowledged </w:t>
      </w:r>
      <w:r w:rsidRPr="00621E36">
        <w:t xml:space="preserve">by, or visible on the internal systems of, such Clearing System in accordance with the standard practices of such Clearing System and will result in the </w:t>
      </w:r>
      <w:r>
        <w:t>“</w:t>
      </w:r>
      <w:r w:rsidRPr="00621E36">
        <w:t>blocking</w:t>
      </w:r>
      <w:r>
        <w:t>”</w:t>
      </w:r>
      <w:r w:rsidRPr="00621E36">
        <w:t xml:space="preserve"> (as such term is generally employed in the securities custody industry) of the relevant Notes in the Noteholder</w:t>
      </w:r>
      <w:r>
        <w:t>’</w:t>
      </w:r>
      <w:r w:rsidRPr="00621E36">
        <w:t>s account with the relevant Clearing System so that no transfers may be effected in relation to such Notes.</w:t>
      </w:r>
    </w:p>
    <w:p w:rsidR="005003BC" w:rsidP="00914F5A" w:rsidRDefault="005003BC" w14:paraId="60F6B75D" w14:textId="5BC89DFF">
      <w:pPr>
        <w:pStyle w:val="Body"/>
      </w:pPr>
      <w:r w:rsidRPr="00A165FE">
        <w:t xml:space="preserve">Each </w:t>
      </w:r>
      <w:r>
        <w:t>Noteholder</w:t>
      </w:r>
      <w:r w:rsidRPr="00A165FE">
        <w:t xml:space="preserve"> must take the appropriate steps through the relevant Clearing Sys</w:t>
      </w:r>
      <w:r>
        <w:t xml:space="preserve">tem so that no transfers may be </w:t>
      </w:r>
      <w:r w:rsidRPr="00A165FE">
        <w:t>effected in relation to such tendered Notes at any time after the da</w:t>
      </w:r>
      <w:r>
        <w:t xml:space="preserve">te of submission of such </w:t>
      </w:r>
      <w:r w:rsidRPr="00D974B3">
        <w:t>Tender Instruction</w:t>
      </w:r>
      <w:r w:rsidRPr="00A165FE">
        <w:t>, in accordance with the requirements of the relevant Clearing Sy</w:t>
      </w:r>
      <w:r>
        <w:t xml:space="preserve">stem and the deadlines required </w:t>
      </w:r>
      <w:r w:rsidRPr="00A165FE">
        <w:t>by such Clearing System. Each Direct Participant will be deemed to consen</w:t>
      </w:r>
      <w:r>
        <w:t xml:space="preserve">t to have the relevant Clearing </w:t>
      </w:r>
      <w:r w:rsidRPr="00A165FE">
        <w:t xml:space="preserve">System </w:t>
      </w:r>
      <w:r w:rsidRPr="00A165FE">
        <w:lastRenderedPageBreak/>
        <w:t>provide details concerning such Direct Participant</w:t>
      </w:r>
      <w:r>
        <w:t>’</w:t>
      </w:r>
      <w:r w:rsidRPr="00A165FE">
        <w:t xml:space="preserve">s identity to the </w:t>
      </w:r>
      <w:r w:rsidR="0027613F">
        <w:t>Tender Agent</w:t>
      </w:r>
      <w:r>
        <w:t xml:space="preserve"> (and for the </w:t>
      </w:r>
      <w:r w:rsidR="0027613F">
        <w:t>Tender Agent</w:t>
      </w:r>
      <w:r w:rsidRPr="00A165FE">
        <w:t xml:space="preserve"> to provide such details to the </w:t>
      </w:r>
      <w:r>
        <w:t xml:space="preserve">Offeror and </w:t>
      </w:r>
      <w:r w:rsidR="00A50FFC">
        <w:t>its</w:t>
      </w:r>
      <w:r>
        <w:t xml:space="preserve"> </w:t>
      </w:r>
      <w:r w:rsidRPr="00A165FE">
        <w:t>legal advisers).</w:t>
      </w:r>
    </w:p>
    <w:p w:rsidRPr="009C72CA" w:rsidR="005003BC" w:rsidP="00914F5A" w:rsidRDefault="005003BC" w14:paraId="73E55541" w14:textId="77777777">
      <w:pPr>
        <w:pStyle w:val="Body"/>
        <w:rPr>
          <w:bCs/>
        </w:rPr>
      </w:pPr>
      <w:r w:rsidRPr="009C72CA">
        <w:rPr>
          <w:bCs/>
        </w:rPr>
        <w:t>A separate Tender Instruction must be submitted on behalf of each beneficial owner of the Notes.</w:t>
      </w:r>
    </w:p>
    <w:p w:rsidR="005003BC" w:rsidP="00914F5A" w:rsidRDefault="008605BD" w14:paraId="4004A316" w14:textId="5D0004B4">
      <w:pPr>
        <w:pStyle w:val="Body"/>
        <w:rPr>
          <w:bCs/>
        </w:rPr>
      </w:pPr>
      <w:r w:rsidRPr="008605BD">
        <w:rPr>
          <w:bCs/>
        </w:rPr>
        <w:t xml:space="preserve">A Noteholder may </w:t>
      </w:r>
      <w:r w:rsidRPr="00E55821" w:rsidR="00E55821">
        <w:rPr>
          <w:bCs/>
        </w:rPr>
        <w:t>submi</w:t>
      </w:r>
      <w:r w:rsidR="00E55821">
        <w:rPr>
          <w:bCs/>
        </w:rPr>
        <w:t>t</w:t>
      </w:r>
      <w:r w:rsidRPr="00DE1917" w:rsidR="00DE1917">
        <w:rPr>
          <w:bCs/>
        </w:rPr>
        <w:t xml:space="preserve">, or arrange to have </w:t>
      </w:r>
      <w:r w:rsidRPr="00E55821" w:rsidR="00E55821">
        <w:rPr>
          <w:bCs/>
        </w:rPr>
        <w:t>submitted</w:t>
      </w:r>
      <w:r w:rsidRPr="00DE1917" w:rsidR="00DE1917">
        <w:rPr>
          <w:bCs/>
        </w:rPr>
        <w:t xml:space="preserve"> on its behalf</w:t>
      </w:r>
      <w:r w:rsidR="00E55821">
        <w:rPr>
          <w:bCs/>
        </w:rPr>
        <w:t xml:space="preserve">, </w:t>
      </w:r>
      <w:r w:rsidRPr="008605BD">
        <w:rPr>
          <w:bCs/>
        </w:rPr>
        <w:t>one or more Tender Instructions in respect of the Notes which such Noteholder holds prior to the Expiration Deadline, provided that the aggregate principal amount of Notes tendered does not exceed the aggregate principal amount of Notes which such Noteholder holds</w:t>
      </w:r>
      <w:r>
        <w:rPr>
          <w:bCs/>
        </w:rPr>
        <w:t>.</w:t>
      </w:r>
    </w:p>
    <w:p w:rsidRPr="00021AC3" w:rsidR="005003BC" w:rsidP="00914F5A" w:rsidRDefault="005003BC" w14:paraId="1F51342B" w14:textId="77777777">
      <w:pPr>
        <w:pStyle w:val="Head"/>
      </w:pPr>
      <w:bookmarkStart w:name="_Toc122976077" w:id="43"/>
      <w:r w:rsidRPr="00021AC3">
        <w:t xml:space="preserve">Euroclear or </w:t>
      </w:r>
      <w:proofErr w:type="spellStart"/>
      <w:r w:rsidRPr="00021AC3">
        <w:t>Clearstream</w:t>
      </w:r>
      <w:proofErr w:type="spellEnd"/>
      <w:r w:rsidRPr="00021AC3">
        <w:t>, Luxembourg Procedures</w:t>
      </w:r>
      <w:bookmarkEnd w:id="43"/>
    </w:p>
    <w:p w:rsidRPr="00837AE0" w:rsidR="005003BC" w:rsidP="00914F5A" w:rsidRDefault="005003BC" w14:paraId="094B2858" w14:textId="77777777">
      <w:pPr>
        <w:pStyle w:val="Body"/>
      </w:pPr>
      <w:r w:rsidRPr="00837AE0">
        <w:t xml:space="preserve">To effectively </w:t>
      </w:r>
      <w:r>
        <w:t xml:space="preserve">tender </w:t>
      </w:r>
      <w:r w:rsidRPr="00837AE0">
        <w:t xml:space="preserve">the Notes </w:t>
      </w:r>
      <w:r>
        <w:t xml:space="preserve">pursuant to the Tender Offer that are held through </w:t>
      </w:r>
      <w:r w:rsidRPr="00283C80">
        <w:t xml:space="preserve">Euroclear or </w:t>
      </w:r>
      <w:proofErr w:type="spellStart"/>
      <w:r w:rsidRPr="00283C80">
        <w:t>Clearstream</w:t>
      </w:r>
      <w:proofErr w:type="spellEnd"/>
      <w:r w:rsidRPr="00283C80">
        <w:t>, Luxembourg</w:t>
      </w:r>
      <w:r>
        <w:t>,</w:t>
      </w:r>
      <w:r w:rsidRPr="00837AE0">
        <w:t xml:space="preserve"> participants </w:t>
      </w:r>
      <w:r>
        <w:t>of Euroclear</w:t>
      </w:r>
      <w:r w:rsidRPr="00837AE0">
        <w:t xml:space="preserve"> or </w:t>
      </w:r>
      <w:proofErr w:type="spellStart"/>
      <w:r w:rsidRPr="00837AE0">
        <w:t>Clearstream</w:t>
      </w:r>
      <w:proofErr w:type="spellEnd"/>
      <w:r w:rsidRPr="00837AE0">
        <w:t>,</w:t>
      </w:r>
      <w:r>
        <w:t xml:space="preserve"> </w:t>
      </w:r>
      <w:r w:rsidRPr="006C253C">
        <w:t>Luxembourg</w:t>
      </w:r>
      <w:r>
        <w:t>,</w:t>
      </w:r>
      <w:r w:rsidRPr="00837AE0">
        <w:t xml:space="preserve"> as the case may be, </w:t>
      </w:r>
      <w:r>
        <w:t xml:space="preserve">a Noteholder </w:t>
      </w:r>
      <w:r w:rsidRPr="00837AE0">
        <w:t xml:space="preserve">must electronically transmit </w:t>
      </w:r>
      <w:r>
        <w:t xml:space="preserve">its </w:t>
      </w:r>
      <w:r w:rsidRPr="00D974B3">
        <w:t>Tender Instruction</w:t>
      </w:r>
      <w:r>
        <w:t xml:space="preserve"> </w:t>
      </w:r>
      <w:r w:rsidRPr="00837AE0">
        <w:t xml:space="preserve">via a message to </w:t>
      </w:r>
      <w:r>
        <w:t>Euroclear</w:t>
      </w:r>
      <w:r w:rsidRPr="00837AE0">
        <w:t xml:space="preserve"> or </w:t>
      </w:r>
      <w:proofErr w:type="spellStart"/>
      <w:r w:rsidRPr="00837AE0">
        <w:t>Clearstream</w:t>
      </w:r>
      <w:proofErr w:type="spellEnd"/>
      <w:r w:rsidRPr="00837AE0">
        <w:t>, Luxembourg, as the case may be, containing the following information:</w:t>
      </w:r>
    </w:p>
    <w:p w:rsidRPr="00837AE0" w:rsidR="005003BC" w:rsidP="008F6E79" w:rsidRDefault="005003BC" w14:paraId="23577FD4" w14:textId="3EA2A9A4">
      <w:pPr>
        <w:pStyle w:val="Alpha2-a0"/>
      </w:pPr>
      <w:r w:rsidRPr="00837AE0">
        <w:t xml:space="preserve">the event or reference number issued by </w:t>
      </w:r>
      <w:r>
        <w:t>Euroclear</w:t>
      </w:r>
      <w:r w:rsidRPr="00837AE0">
        <w:t xml:space="preserve"> or </w:t>
      </w:r>
      <w:proofErr w:type="spellStart"/>
      <w:r w:rsidRPr="00837AE0">
        <w:t>Clearstream</w:t>
      </w:r>
      <w:proofErr w:type="spellEnd"/>
      <w:r w:rsidRPr="00837AE0">
        <w:t>, Luxembourg;</w:t>
      </w:r>
    </w:p>
    <w:p w:rsidRPr="00837AE0" w:rsidR="005003BC" w:rsidP="008F6E79" w:rsidRDefault="005003BC" w14:paraId="6ECFA2E8" w14:textId="7C9C2215">
      <w:pPr>
        <w:pStyle w:val="Alpha2-a0"/>
      </w:pPr>
      <w:r w:rsidRPr="00837AE0">
        <w:t xml:space="preserve">the name of the </w:t>
      </w:r>
      <w:r w:rsidRPr="002C0874">
        <w:t xml:space="preserve">Direct Participant </w:t>
      </w:r>
      <w:r w:rsidRPr="00837AE0">
        <w:t>and the securities account number in which the Notes the Noteholder wishes to tender are held;</w:t>
      </w:r>
    </w:p>
    <w:p w:rsidRPr="00837AE0" w:rsidR="005003BC" w:rsidP="008F6E79" w:rsidRDefault="005003BC" w14:paraId="2EA995A5" w14:textId="1F0CDDE1">
      <w:pPr>
        <w:pStyle w:val="Alpha2-a0"/>
      </w:pPr>
      <w:r w:rsidRPr="00837AE0">
        <w:t>the ISIN and Common Code of the Notes;</w:t>
      </w:r>
    </w:p>
    <w:p w:rsidR="005003BC" w:rsidP="008F6E79" w:rsidRDefault="005003BC" w14:paraId="3ADE9C0E" w14:textId="5372AF5F">
      <w:pPr>
        <w:pStyle w:val="Alpha2-a0"/>
      </w:pPr>
      <w:r w:rsidRPr="00837AE0">
        <w:t>the principal amount of the Notes</w:t>
      </w:r>
      <w:r>
        <w:t xml:space="preserve"> tendered</w:t>
      </w:r>
      <w:r w:rsidR="00B04F74">
        <w:t xml:space="preserve"> </w:t>
      </w:r>
      <w:r w:rsidRPr="00B04F74" w:rsidR="00B04F74">
        <w:t>(subject to the Minimum Denomination)</w:t>
      </w:r>
      <w:r w:rsidRPr="00837AE0">
        <w:t>;</w:t>
      </w:r>
    </w:p>
    <w:p w:rsidR="005003BC" w:rsidP="008F6E79" w:rsidRDefault="005003BC" w14:paraId="09159902" w14:textId="05B50162">
      <w:pPr>
        <w:pStyle w:val="Alpha2-a0"/>
      </w:pPr>
      <w:r>
        <w:t xml:space="preserve">the Submitted </w:t>
      </w:r>
      <w:r w:rsidRPr="001B505F">
        <w:t xml:space="preserve">Purchase </w:t>
      </w:r>
      <w:r>
        <w:t xml:space="preserve">Price, expressed in whole U.S. Dollars per U.S.$1,000 in the principal amount of the Notes tendered and the </w:t>
      </w:r>
      <w:r w:rsidRPr="00223E77">
        <w:t>Submitted Purchase</w:t>
      </w:r>
      <w:r>
        <w:t xml:space="preserve"> Amount; and</w:t>
      </w:r>
    </w:p>
    <w:p w:rsidR="005003BC" w:rsidP="008F6E79" w:rsidRDefault="005003BC" w14:paraId="1C9BA5FD" w14:textId="5107A0E5">
      <w:pPr>
        <w:pStyle w:val="Alpha2-a0"/>
      </w:pPr>
      <w:r w:rsidRPr="00837AE0">
        <w:t xml:space="preserve">any other information as may be required by </w:t>
      </w:r>
      <w:r>
        <w:t>Euroclear</w:t>
      </w:r>
      <w:r w:rsidRPr="00837AE0">
        <w:t xml:space="preserve"> or </w:t>
      </w:r>
      <w:proofErr w:type="spellStart"/>
      <w:r w:rsidRPr="00837AE0">
        <w:t>Clearstream</w:t>
      </w:r>
      <w:proofErr w:type="spellEnd"/>
      <w:r w:rsidRPr="00837AE0">
        <w:t xml:space="preserve">, Luxembourg and duly notified to the Noteholder prior to the submission of the </w:t>
      </w:r>
      <w:r w:rsidRPr="00D974B3">
        <w:t>Tender Instruction</w:t>
      </w:r>
      <w:r w:rsidRPr="00837AE0">
        <w:t>.</w:t>
      </w:r>
    </w:p>
    <w:p w:rsidRPr="00742DEE" w:rsidR="005003BC" w:rsidP="00914F5A" w:rsidRDefault="005003BC" w14:paraId="1A3BA099" w14:textId="7B0D6E1B">
      <w:pPr>
        <w:pStyle w:val="Body"/>
      </w:pPr>
      <w:r w:rsidRPr="00837AE0">
        <w:t xml:space="preserve">In addition, the Noteholder must, on or prior to the </w:t>
      </w:r>
      <w:r w:rsidRPr="00A52F56">
        <w:t>Expiration Deadline</w:t>
      </w:r>
      <w:r w:rsidRPr="00837AE0">
        <w:t xml:space="preserve">, (a) cause </w:t>
      </w:r>
      <w:r>
        <w:t>Euroclear</w:t>
      </w:r>
      <w:r w:rsidRPr="00837AE0">
        <w:t xml:space="preserve"> or </w:t>
      </w:r>
      <w:proofErr w:type="spellStart"/>
      <w:r w:rsidRPr="00837AE0">
        <w:t>Clearstream</w:t>
      </w:r>
      <w:proofErr w:type="spellEnd"/>
      <w:r w:rsidRPr="00837AE0">
        <w:t xml:space="preserve">, Luxembourg, as the case may be, to block the position in the tendered Notes in accordance with the procedures of </w:t>
      </w:r>
      <w:r>
        <w:t>Euroclear</w:t>
      </w:r>
      <w:r w:rsidRPr="00837AE0">
        <w:t xml:space="preserve"> or </w:t>
      </w:r>
      <w:proofErr w:type="spellStart"/>
      <w:r w:rsidRPr="00837AE0">
        <w:t>Clearstream</w:t>
      </w:r>
      <w:proofErr w:type="spellEnd"/>
      <w:r w:rsidRPr="00837AE0">
        <w:t xml:space="preserve">, Luxembourg, as the case may be, and (b) instruct </w:t>
      </w:r>
      <w:r>
        <w:t>Euroclear</w:t>
      </w:r>
      <w:r w:rsidRPr="00837AE0">
        <w:t xml:space="preserve"> or </w:t>
      </w:r>
      <w:proofErr w:type="spellStart"/>
      <w:r w:rsidRPr="00837AE0">
        <w:t>Clearstream</w:t>
      </w:r>
      <w:proofErr w:type="spellEnd"/>
      <w:r w:rsidRPr="00837AE0">
        <w:t xml:space="preserve">, Luxembourg, as the case may be, to send the </w:t>
      </w:r>
      <w:r w:rsidR="0027613F">
        <w:t>Tender Agent</w:t>
      </w:r>
      <w:r w:rsidRPr="00837AE0">
        <w:t xml:space="preserve"> an electronic message confirming: (</w:t>
      </w:r>
      <w:proofErr w:type="spellStart"/>
      <w:r w:rsidRPr="00837AE0">
        <w:t>i</w:t>
      </w:r>
      <w:proofErr w:type="spellEnd"/>
      <w:r w:rsidRPr="00837AE0">
        <w:t>) the Direct Participant</w:t>
      </w:r>
      <w:r>
        <w:t>’</w:t>
      </w:r>
      <w:r w:rsidRPr="00837AE0">
        <w:t xml:space="preserve">s </w:t>
      </w:r>
      <w:r w:rsidRPr="00532821">
        <w:t>Tender Instruction</w:t>
      </w:r>
      <w:r w:rsidRPr="00837AE0">
        <w:t xml:space="preserve"> and (ii) that the position in the Notes being tendered has been blocked from trading pending settlement of the </w:t>
      </w:r>
      <w:r>
        <w:t>Tender</w:t>
      </w:r>
      <w:r w:rsidRPr="00CD7901">
        <w:t xml:space="preserve"> </w:t>
      </w:r>
      <w:r w:rsidRPr="00837AE0">
        <w:t>Offer</w:t>
      </w:r>
      <w:r>
        <w:t xml:space="preserve"> </w:t>
      </w:r>
      <w:r w:rsidRPr="00837AE0">
        <w:t xml:space="preserve">or termination of the </w:t>
      </w:r>
      <w:r>
        <w:t>Tender</w:t>
      </w:r>
      <w:r w:rsidRPr="00CD7901">
        <w:t xml:space="preserve"> </w:t>
      </w:r>
      <w:r w:rsidRPr="00837AE0">
        <w:t xml:space="preserve">Offer. </w:t>
      </w:r>
      <w:r>
        <w:t>Euroclear</w:t>
      </w:r>
      <w:r w:rsidRPr="00837AE0">
        <w:t xml:space="preserve"> and </w:t>
      </w:r>
      <w:proofErr w:type="spellStart"/>
      <w:r w:rsidRPr="00837AE0">
        <w:t>Clearstream</w:t>
      </w:r>
      <w:proofErr w:type="spellEnd"/>
      <w:r w:rsidRPr="00837AE0">
        <w:t xml:space="preserve">, Luxembourg will collect from the Direct Participants: (1) instructions to (a) tender the Notes and deliver the acceptances held by them on behalf of their Direct Participants and (b) credit their accounts on </w:t>
      </w:r>
      <w:r w:rsidRPr="00183A3C">
        <w:t xml:space="preserve">the </w:t>
      </w:r>
      <w:r w:rsidRPr="0073477E">
        <w:t>Settlement</w:t>
      </w:r>
      <w:r>
        <w:t xml:space="preserve"> Date</w:t>
      </w:r>
      <w:r w:rsidRPr="00837AE0">
        <w:t xml:space="preserve">, in respect to </w:t>
      </w:r>
      <w:r>
        <w:t>the</w:t>
      </w:r>
      <w:r w:rsidRPr="00837AE0">
        <w:t xml:space="preserve"> tendered Notes</w:t>
      </w:r>
      <w:r>
        <w:t xml:space="preserve"> that are accepted,</w:t>
      </w:r>
      <w:r w:rsidRPr="00837AE0">
        <w:t xml:space="preserve"> and (2) irrevocable authori</w:t>
      </w:r>
      <w:r>
        <w:t>s</w:t>
      </w:r>
      <w:r w:rsidRPr="00837AE0">
        <w:t xml:space="preserve">ation to disclose the name of the Direct Participants and information about the foregoing instructions to the </w:t>
      </w:r>
      <w:r w:rsidR="0027613F">
        <w:t>Tender Agent</w:t>
      </w:r>
      <w:r w:rsidRPr="00837AE0">
        <w:t xml:space="preserve"> (and for </w:t>
      </w:r>
      <w:r>
        <w:t>the</w:t>
      </w:r>
      <w:r w:rsidRPr="00837AE0">
        <w:t xml:space="preserve"> </w:t>
      </w:r>
      <w:r w:rsidR="0027613F">
        <w:t>Tender Agent</w:t>
      </w:r>
      <w:r w:rsidRPr="00837AE0">
        <w:t xml:space="preserve"> to provide such details to the </w:t>
      </w:r>
      <w:r>
        <w:t>Offeror</w:t>
      </w:r>
      <w:r w:rsidR="00A50FFC">
        <w:t xml:space="preserve"> </w:t>
      </w:r>
      <w:r w:rsidRPr="00837AE0">
        <w:t xml:space="preserve">and </w:t>
      </w:r>
      <w:r w:rsidR="00A50FFC">
        <w:t>its</w:t>
      </w:r>
      <w:r w:rsidR="0090274C">
        <w:t xml:space="preserve"> </w:t>
      </w:r>
      <w:r w:rsidRPr="00837AE0">
        <w:t>legal advisers).</w:t>
      </w:r>
    </w:p>
    <w:p w:rsidR="005003BC" w:rsidP="00914F5A" w:rsidRDefault="005003BC" w14:paraId="6A7477CF" w14:textId="234276E3">
      <w:pPr>
        <w:pStyle w:val="Body"/>
        <w:contextualSpacing/>
        <w:rPr>
          <w:b/>
        </w:rPr>
      </w:pPr>
      <w:r w:rsidRPr="00742DEE">
        <w:rPr>
          <w:b/>
        </w:rPr>
        <w:t xml:space="preserve">Only Direct Participants may submit </w:t>
      </w:r>
      <w:r w:rsidRPr="00532821">
        <w:rPr>
          <w:b/>
        </w:rPr>
        <w:t>Tender Instruction</w:t>
      </w:r>
      <w:r>
        <w:rPr>
          <w:b/>
        </w:rPr>
        <w:t>s</w:t>
      </w:r>
      <w:r w:rsidRPr="00742DEE">
        <w:rPr>
          <w:b/>
        </w:rPr>
        <w:t xml:space="preserve">. Each Noteholder that is not a Direct Participant must arrange for the Direct Participant through which such Noteholder holds its Notes to submit a valid </w:t>
      </w:r>
      <w:r w:rsidRPr="00532821">
        <w:rPr>
          <w:b/>
        </w:rPr>
        <w:t>Tender Instruction</w:t>
      </w:r>
      <w:r w:rsidRPr="001F71A7">
        <w:rPr>
          <w:b/>
        </w:rPr>
        <w:t xml:space="preserve"> </w:t>
      </w:r>
      <w:r w:rsidRPr="00742DEE">
        <w:rPr>
          <w:b/>
        </w:rPr>
        <w:t>on its behalf to the relevant Clearing System before the deadlines specified by the relevant Clearing System.</w:t>
      </w:r>
    </w:p>
    <w:p w:rsidRPr="00742DEE" w:rsidR="00C70F2B" w:rsidP="00D566BB" w:rsidRDefault="00C70F2B" w14:paraId="32089538" w14:textId="77777777">
      <w:pPr>
        <w:pStyle w:val="Body"/>
        <w:ind w:left="0"/>
        <w:contextualSpacing/>
        <w:rPr>
          <w:b/>
        </w:rPr>
      </w:pPr>
    </w:p>
    <w:p w:rsidRPr="00C70F2B" w:rsidR="005003BC" w:rsidP="008F6E79" w:rsidRDefault="00A64A04" w14:paraId="1125419B" w14:textId="47D7A1EE">
      <w:pPr>
        <w:pStyle w:val="SubHead"/>
        <w:contextualSpacing/>
        <w:rPr>
          <w:sz w:val="22"/>
          <w:szCs w:val="22"/>
        </w:rPr>
      </w:pPr>
      <w:r w:rsidRPr="00C70F2B">
        <w:rPr>
          <w:sz w:val="22"/>
          <w:szCs w:val="22"/>
        </w:rPr>
        <w:t>Revocation of Tender Instruction</w:t>
      </w:r>
      <w:r w:rsidR="00B90984">
        <w:rPr>
          <w:sz w:val="22"/>
          <w:szCs w:val="22"/>
        </w:rPr>
        <w:t>s</w:t>
      </w:r>
      <w:r w:rsidRPr="00C70F2B">
        <w:rPr>
          <w:sz w:val="22"/>
          <w:szCs w:val="22"/>
        </w:rPr>
        <w:t xml:space="preserve"> </w:t>
      </w:r>
    </w:p>
    <w:p w:rsidR="005003BC" w:rsidP="00914F5A" w:rsidRDefault="005003BC" w14:paraId="5D527F05" w14:textId="77777777">
      <w:pPr>
        <w:pStyle w:val="Body"/>
      </w:pPr>
      <w:r w:rsidRPr="00780C2A">
        <w:t xml:space="preserve">A valid Tender Instruction submitted in accordance with the procedures set out in this section may not be </w:t>
      </w:r>
      <w:proofErr w:type="gramStart"/>
      <w:r w:rsidRPr="00780C2A">
        <w:t>revoked</w:t>
      </w:r>
      <w:r>
        <w:t>,</w:t>
      </w:r>
      <w:r w:rsidRPr="004B0399">
        <w:t xml:space="preserve"> unless</w:t>
      </w:r>
      <w:proofErr w:type="gramEnd"/>
      <w:r w:rsidRPr="004B0399">
        <w:t xml:space="preserve"> the </w:t>
      </w:r>
      <w:r>
        <w:t>Tender Offer</w:t>
      </w:r>
      <w:r w:rsidRPr="004B0399">
        <w:t xml:space="preserve"> is terminated or as required by applicable law</w:t>
      </w:r>
      <w:r w:rsidRPr="00780C2A">
        <w:t>.</w:t>
      </w:r>
    </w:p>
    <w:p w:rsidR="00602E9E" w:rsidP="008F6E79" w:rsidRDefault="00602E9E" w14:paraId="38E195A5" w14:textId="77777777">
      <w:pPr>
        <w:pStyle w:val="SubHead"/>
        <w:contextualSpacing/>
        <w:rPr>
          <w:sz w:val="22"/>
          <w:szCs w:val="22"/>
        </w:rPr>
      </w:pPr>
    </w:p>
    <w:p w:rsidRPr="00C70F2B" w:rsidR="005003BC" w:rsidP="008F6E79" w:rsidRDefault="005003BC" w14:paraId="63E1F8DB" w14:textId="0CC69227">
      <w:pPr>
        <w:pStyle w:val="SubHead"/>
        <w:contextualSpacing/>
        <w:rPr>
          <w:sz w:val="22"/>
          <w:szCs w:val="22"/>
        </w:rPr>
      </w:pPr>
      <w:r w:rsidRPr="00C70F2B">
        <w:rPr>
          <w:sz w:val="22"/>
          <w:szCs w:val="22"/>
        </w:rPr>
        <w:t>Agreement, Acknowledgements, Representations, Warranties and Undertakings of the Noteholders</w:t>
      </w:r>
    </w:p>
    <w:p w:rsidRPr="00742DEE" w:rsidR="005003BC" w:rsidP="00914F5A" w:rsidRDefault="005003BC" w14:paraId="6F14C9B0" w14:textId="6DBD1331">
      <w:pPr>
        <w:pStyle w:val="Body"/>
      </w:pPr>
      <w:r w:rsidRPr="00742DEE">
        <w:t xml:space="preserve">By submitting a valid </w:t>
      </w:r>
      <w:r w:rsidRPr="006A18E7">
        <w:t>Tender Instruction</w:t>
      </w:r>
      <w:r>
        <w:t xml:space="preserve"> </w:t>
      </w:r>
      <w:r w:rsidRPr="00742DEE">
        <w:t xml:space="preserve">to the relevant Clearing System in accordance with the standard procedures of such Clearing System, a Noteholder and any Direct Participant submitting such </w:t>
      </w:r>
      <w:r w:rsidRPr="006A18E7">
        <w:t>Tender Instruction</w:t>
      </w:r>
      <w:r w:rsidRPr="00837AE0">
        <w:t xml:space="preserve"> </w:t>
      </w:r>
      <w:r w:rsidRPr="00742DEE">
        <w:t>on such Noteholder</w:t>
      </w:r>
      <w:r>
        <w:t>’</w:t>
      </w:r>
      <w:r w:rsidRPr="00742DEE">
        <w:t xml:space="preserve">s behalf will be deemed to agree, and acknowledge, represent, warrant and undertake, to </w:t>
      </w:r>
      <w:r>
        <w:t xml:space="preserve">the Offeror </w:t>
      </w:r>
      <w:r w:rsidRPr="00742DEE">
        <w:t xml:space="preserve">and the </w:t>
      </w:r>
      <w:r w:rsidR="0027613F">
        <w:t>Tender Agent</w:t>
      </w:r>
      <w:r w:rsidRPr="00742DEE">
        <w:t xml:space="preserve"> the following</w:t>
      </w:r>
      <w:r w:rsidR="00FD7B1C">
        <w:t xml:space="preserve">, </w:t>
      </w:r>
      <w:r w:rsidRPr="00742DEE">
        <w:t xml:space="preserve">at the time of submission of the </w:t>
      </w:r>
      <w:r w:rsidRPr="006A18E7">
        <w:t>Tender Instruction</w:t>
      </w:r>
      <w:r w:rsidRPr="00742DEE">
        <w:t xml:space="preserve">, the </w:t>
      </w:r>
      <w:r w:rsidRPr="00A52F56">
        <w:t xml:space="preserve">Expiration Deadline </w:t>
      </w:r>
      <w:r w:rsidRPr="00742DEE">
        <w:t>and</w:t>
      </w:r>
      <w:r w:rsidR="00875B88">
        <w:t xml:space="preserve"> </w:t>
      </w:r>
      <w:r w:rsidRPr="00742DEE">
        <w:t xml:space="preserve">the time of settlement on </w:t>
      </w:r>
      <w:r w:rsidRPr="00183A3C">
        <w:t xml:space="preserve">the </w:t>
      </w:r>
      <w:r w:rsidRPr="0073477E">
        <w:t>Settlement</w:t>
      </w:r>
      <w:r>
        <w:t xml:space="preserve"> Date</w:t>
      </w:r>
      <w:r w:rsidR="002C70C2">
        <w:t xml:space="preserve"> </w:t>
      </w:r>
      <w:r w:rsidRPr="00742DEE">
        <w:t xml:space="preserve">(if a Noteholder or Direct Participant is unable to make any such agreement or acknowledgement or give any such representation, warranty or undertaking, such Noteholder or Direct Participant should contact the </w:t>
      </w:r>
      <w:r w:rsidR="0027613F">
        <w:t>Tender Agent</w:t>
      </w:r>
      <w:r w:rsidRPr="001810EB">
        <w:t xml:space="preserve"> immediately</w:t>
      </w:r>
      <w:r w:rsidRPr="00742DEE">
        <w:t>):</w:t>
      </w:r>
    </w:p>
    <w:p w:rsidRPr="00742DEE" w:rsidR="005003BC" w:rsidP="00F016B7" w:rsidRDefault="005003BC" w14:paraId="0B8A66DE" w14:textId="5D9E1FC1">
      <w:pPr>
        <w:pStyle w:val="Alpha2-a0"/>
        <w:numPr>
          <w:ilvl w:val="0"/>
          <w:numId w:val="71"/>
        </w:numPr>
      </w:pPr>
      <w:r w:rsidRPr="00742DEE">
        <w:t xml:space="preserve">it has received this </w:t>
      </w:r>
      <w:r w:rsidR="005C4C34">
        <w:t>Tender Offer Memorandum</w:t>
      </w:r>
      <w:r w:rsidRPr="00742DEE">
        <w:t xml:space="preserve">, and has reviewed and accepts the offer and distribution restrictions, terms, conditions, risk factors and other considerations of the </w:t>
      </w:r>
      <w:r>
        <w:t xml:space="preserve">Tender </w:t>
      </w:r>
      <w:r w:rsidRPr="00742DEE">
        <w:t xml:space="preserve">Offer, all as described in this </w:t>
      </w:r>
      <w:r w:rsidR="005C4C34">
        <w:t>Tender Offer Memorandum</w:t>
      </w:r>
      <w:r w:rsidRPr="00742DEE">
        <w:t xml:space="preserve">, and it is assuming all the risks inherent in participating in the </w:t>
      </w:r>
      <w:r>
        <w:t xml:space="preserve">Tender </w:t>
      </w:r>
      <w:r w:rsidRPr="00742DEE">
        <w:t>Offer and has undertaken an appropriate analysis</w:t>
      </w:r>
      <w:r>
        <w:t xml:space="preserve"> (including from a tax and legal perspective)</w:t>
      </w:r>
      <w:r w:rsidRPr="00742DEE">
        <w:t xml:space="preserve"> of the implications of the </w:t>
      </w:r>
      <w:r>
        <w:t xml:space="preserve">Tender </w:t>
      </w:r>
      <w:r w:rsidRPr="00742DEE">
        <w:t>Offer without reliance on the</w:t>
      </w:r>
      <w:r>
        <w:t xml:space="preserve"> Offeror</w:t>
      </w:r>
      <w:r w:rsidRPr="00742DEE">
        <w:t xml:space="preserve"> or the </w:t>
      </w:r>
      <w:r w:rsidR="0027613F">
        <w:t>Tender Agent</w:t>
      </w:r>
      <w:r w:rsidRPr="00742DEE">
        <w:t>;</w:t>
      </w:r>
    </w:p>
    <w:p w:rsidRPr="00742DEE" w:rsidR="005003BC" w:rsidP="008F6E79" w:rsidRDefault="005003BC" w14:paraId="579904ED" w14:textId="26C14435">
      <w:pPr>
        <w:pStyle w:val="Alpha2-a0"/>
      </w:pPr>
      <w:r w:rsidRPr="00742DEE">
        <w:t xml:space="preserve">by blocking the relevant Notes in the relevant Clearing System, </w:t>
      </w:r>
      <w:r w:rsidRPr="00491F1F" w:rsidR="00491F1F">
        <w:t xml:space="preserve">a Noteholder </w:t>
      </w:r>
      <w:r w:rsidR="00EB5149">
        <w:t>or</w:t>
      </w:r>
      <w:r w:rsidRPr="009F64F1" w:rsidR="009F64F1">
        <w:t xml:space="preserve"> any Direct Participant submitting </w:t>
      </w:r>
      <w:r w:rsidR="009F64F1">
        <w:t xml:space="preserve">such </w:t>
      </w:r>
      <w:r w:rsidRPr="009F64F1" w:rsidR="009F64F1">
        <w:t xml:space="preserve">Tender Instruction on </w:t>
      </w:r>
      <w:r w:rsidR="009F64F1">
        <w:t>its</w:t>
      </w:r>
      <w:r w:rsidRPr="009F64F1" w:rsidR="009F64F1">
        <w:t xml:space="preserve"> behalf </w:t>
      </w:r>
      <w:r w:rsidRPr="00742DEE">
        <w:t xml:space="preserve">will be deemed to consent, in the case of a Direct Participant, to have such Clearing System provide details concerning its identity to the </w:t>
      </w:r>
      <w:r w:rsidR="0027613F">
        <w:t>Tender Agent</w:t>
      </w:r>
      <w:r w:rsidRPr="00742DEE">
        <w:t xml:space="preserve"> (and for the </w:t>
      </w:r>
      <w:r w:rsidR="0027613F">
        <w:t>Tender Agent</w:t>
      </w:r>
      <w:r w:rsidRPr="00742DEE">
        <w:t xml:space="preserve"> to provide such details to the</w:t>
      </w:r>
      <w:r>
        <w:t xml:space="preserve"> Offeror</w:t>
      </w:r>
      <w:r w:rsidRPr="00742DEE">
        <w:t xml:space="preserve"> and </w:t>
      </w:r>
      <w:r w:rsidR="001D51DD">
        <w:t>its</w:t>
      </w:r>
      <w:r w:rsidRPr="00742DEE" w:rsidR="001D51DD">
        <w:t xml:space="preserve"> </w:t>
      </w:r>
      <w:r w:rsidRPr="00742DEE">
        <w:t>legal advisers);</w:t>
      </w:r>
    </w:p>
    <w:p w:rsidRPr="00742DEE" w:rsidR="005003BC" w:rsidP="008F6E79" w:rsidRDefault="005003BC" w14:paraId="245ECD5E" w14:textId="437586A8">
      <w:pPr>
        <w:pStyle w:val="Alpha2-a0"/>
      </w:pPr>
      <w:r w:rsidRPr="00742DEE">
        <w:t xml:space="preserve">upon the terms and subject to the conditions of the </w:t>
      </w:r>
      <w:r>
        <w:t>Tender</w:t>
      </w:r>
      <w:r w:rsidRPr="00CD7901">
        <w:t xml:space="preserve"> </w:t>
      </w:r>
      <w:r w:rsidRPr="00742DEE">
        <w:t xml:space="preserve">Offer, </w:t>
      </w:r>
      <w:r w:rsidRPr="00D92C9A" w:rsidR="00D92C9A">
        <w:t>a Noteholder</w:t>
      </w:r>
      <w:r w:rsidRPr="00742DEE">
        <w:t xml:space="preserve"> </w:t>
      </w:r>
      <w:r w:rsidRPr="00EB5149" w:rsidR="00EB5149">
        <w:t xml:space="preserve">or any Direct Participant submitting such Tender Instruction on its behalf </w:t>
      </w:r>
      <w:r w:rsidRPr="00742DEE">
        <w:t xml:space="preserve">tenders for purchase in the </w:t>
      </w:r>
      <w:r>
        <w:t>Tender</w:t>
      </w:r>
      <w:r w:rsidRPr="00CD7901">
        <w:t xml:space="preserve"> </w:t>
      </w:r>
      <w:r w:rsidRPr="00742DEE">
        <w:t>Offer the</w:t>
      </w:r>
      <w:r>
        <w:t xml:space="preserve"> aggregate</w:t>
      </w:r>
      <w:r w:rsidRPr="00742DEE">
        <w:t xml:space="preserve"> principal amount of Notes blocked, or to be blocked, as the case may be, in its account in the relevant Clearing System</w:t>
      </w:r>
      <w:r>
        <w:t xml:space="preserve"> </w:t>
      </w:r>
      <w:r w:rsidRPr="00742DEE">
        <w:t xml:space="preserve">and, subject to and effective on such purchase by the </w:t>
      </w:r>
      <w:r>
        <w:t>Offeror</w:t>
      </w:r>
      <w:r w:rsidRPr="00742DEE">
        <w:t xml:space="preserve">, it renounces all right, title and interest in and to all such Notes purchased by or at the direction of the </w:t>
      </w:r>
      <w:r>
        <w:t xml:space="preserve">Offeror, </w:t>
      </w:r>
      <w:r w:rsidRPr="00742DEE">
        <w:t xml:space="preserve">and waives and releases any rights or claims it may have against the </w:t>
      </w:r>
      <w:r>
        <w:t xml:space="preserve">Offeror </w:t>
      </w:r>
      <w:r w:rsidRPr="00742DEE">
        <w:t xml:space="preserve">with respect to any such Notes and the </w:t>
      </w:r>
      <w:r>
        <w:t>Tender</w:t>
      </w:r>
      <w:r w:rsidRPr="00CD7901">
        <w:t xml:space="preserve"> </w:t>
      </w:r>
      <w:r w:rsidRPr="00742DEE">
        <w:t>Offer;</w:t>
      </w:r>
    </w:p>
    <w:p w:rsidRPr="00742DEE" w:rsidR="005003BC" w:rsidP="008F6E79" w:rsidRDefault="005003BC" w14:paraId="63F95DBF" w14:textId="53DCCC40">
      <w:pPr>
        <w:pStyle w:val="Alpha2-a0"/>
      </w:pPr>
      <w:r w:rsidRPr="00742DEE">
        <w:t xml:space="preserve">if the Notes tendered for purchase are accepted by the </w:t>
      </w:r>
      <w:r>
        <w:t>Offeror</w:t>
      </w:r>
      <w:r w:rsidR="002270E2">
        <w:t>,</w:t>
      </w:r>
      <w:r>
        <w:t xml:space="preserve"> </w:t>
      </w:r>
      <w:r w:rsidRPr="000C65D0" w:rsidR="000C65D0">
        <w:t>a Noteholder or any Direct Participant submitting such Tender Instruction on its behalf</w:t>
      </w:r>
      <w:r w:rsidRPr="00742DEE">
        <w:t xml:space="preserve"> acknowledges that (</w:t>
      </w:r>
      <w:proofErr w:type="spellStart"/>
      <w:r w:rsidRPr="00742DEE">
        <w:t>i</w:t>
      </w:r>
      <w:proofErr w:type="spellEnd"/>
      <w:r w:rsidRPr="00742DEE">
        <w:t>) the</w:t>
      </w:r>
      <w:r>
        <w:t xml:space="preserve"> relevant</w:t>
      </w:r>
      <w:r w:rsidRPr="00742DEE">
        <w:t xml:space="preserve"> </w:t>
      </w:r>
      <w:r>
        <w:t>Purchase Price</w:t>
      </w:r>
      <w:r w:rsidRPr="00742DEE">
        <w:t xml:space="preserve"> </w:t>
      </w:r>
      <w:r>
        <w:t xml:space="preserve">Payment </w:t>
      </w:r>
      <w:r w:rsidRPr="00742DEE">
        <w:t xml:space="preserve">and the Accrued Interest Payment will be paid in U.S. </w:t>
      </w:r>
      <w:r>
        <w:t>D</w:t>
      </w:r>
      <w:r w:rsidRPr="00742DEE">
        <w:t xml:space="preserve">ollars, (ii) such cash amounts will be deposited by or on behalf of the </w:t>
      </w:r>
      <w:r>
        <w:t>Offeror</w:t>
      </w:r>
      <w:r w:rsidRPr="00742DEE">
        <w:t xml:space="preserve"> with the Clearing Systems on </w:t>
      </w:r>
      <w:r w:rsidRPr="00183A3C">
        <w:t xml:space="preserve">the </w:t>
      </w:r>
      <w:r w:rsidRPr="0073477E">
        <w:t>Settlement</w:t>
      </w:r>
      <w:r>
        <w:t xml:space="preserve"> Date</w:t>
      </w:r>
      <w:r w:rsidRPr="00742DEE">
        <w:t xml:space="preserve">, (iii) on receipt of such cash amounts, the Clearing Systems will make payments promptly to the accounts in the Clearing Systems of the relevant Direct Participants and (iv) payment of such cash amounts to or to the order of the Clearing Systems will discharge the obligation of the </w:t>
      </w:r>
      <w:r>
        <w:t xml:space="preserve">Offeror </w:t>
      </w:r>
      <w:r w:rsidRPr="00742DEE">
        <w:t>to such Noteholder in respect of the payment of the cash amounts, and no additional amounts shall be payable to the Noteholder in the event of a delay in the payment of such cash amounts by the relevant Clearing System or an intermediary to the Noteholder;</w:t>
      </w:r>
    </w:p>
    <w:p w:rsidRPr="00742DEE" w:rsidR="005003BC" w:rsidP="008F6E79" w:rsidRDefault="005003BC" w14:paraId="708E56FA" w14:textId="58948DB0">
      <w:pPr>
        <w:pStyle w:val="Alpha2-a0"/>
      </w:pPr>
      <w:r w:rsidRPr="00742DEE">
        <w:t>it agrees to ratify and confirm each and every act or thing that may be done or effected by the</w:t>
      </w:r>
      <w:r>
        <w:t xml:space="preserve"> Offeror</w:t>
      </w:r>
      <w:r w:rsidR="00F555F9">
        <w:t>,</w:t>
      </w:r>
      <w:r>
        <w:t xml:space="preserve"> </w:t>
      </w:r>
      <w:r w:rsidRPr="00742DEE">
        <w:t xml:space="preserve">any of </w:t>
      </w:r>
      <w:r w:rsidR="00BF5A15">
        <w:t>its</w:t>
      </w:r>
      <w:r w:rsidRPr="00742DEE" w:rsidR="00CC6C38">
        <w:t xml:space="preserve"> </w:t>
      </w:r>
      <w:r w:rsidRPr="00742DEE">
        <w:t xml:space="preserve">directors or any person nominated by the </w:t>
      </w:r>
      <w:r>
        <w:t xml:space="preserve">Offeror </w:t>
      </w:r>
      <w:r w:rsidRPr="00742DEE">
        <w:t>in the proper exercise of his or her powers and/or authority hereunder;</w:t>
      </w:r>
    </w:p>
    <w:p w:rsidRPr="00742DEE" w:rsidR="005003BC" w:rsidP="008F6E79" w:rsidRDefault="000F1F64" w14:paraId="1FABB8EC" w14:textId="17A576AD">
      <w:pPr>
        <w:pStyle w:val="Alpha2-a0"/>
      </w:pPr>
      <w:r>
        <w:t>it</w:t>
      </w:r>
      <w:r w:rsidRPr="00742DEE" w:rsidR="005003BC">
        <w:t xml:space="preserve"> agrees to do all such acts and things as will be necessary and execute any additional documents deemed by the </w:t>
      </w:r>
      <w:r w:rsidR="005003BC">
        <w:t>Offeror</w:t>
      </w:r>
      <w:r w:rsidRPr="00742DEE" w:rsidR="005003BC">
        <w:t xml:space="preserve"> to be desirable, in each case to complete the transfer of the relevant Notes to the </w:t>
      </w:r>
      <w:r w:rsidR="005003BC">
        <w:t>Offeror</w:t>
      </w:r>
      <w:r w:rsidRPr="00742DEE" w:rsidR="005003BC">
        <w:t xml:space="preserve"> or its nominee against payment to it of the </w:t>
      </w:r>
      <w:r w:rsidR="005003BC">
        <w:t>relevant Purchase Price Payment and the Accrued</w:t>
      </w:r>
      <w:r w:rsidRPr="00742DEE" w:rsidR="005003BC">
        <w:t xml:space="preserve"> Interest Payment for such Notes and/or to perfect any of the authorities expressed to be given hereunder;</w:t>
      </w:r>
    </w:p>
    <w:p w:rsidRPr="00742DEE" w:rsidR="005003BC" w:rsidP="008F6E79" w:rsidRDefault="005003BC" w14:paraId="19E1F234" w14:textId="01F7479A">
      <w:pPr>
        <w:pStyle w:val="Alpha2-a0"/>
      </w:pPr>
      <w:r w:rsidRPr="00742DEE">
        <w:lastRenderedPageBreak/>
        <w:t xml:space="preserve">it has observed the laws of all relevant jurisdictions; obtained all requisite governmental, exchange control or other required consents; complied with all requisite formalities and procurement rules; and paid, or will pay, any issue, transfer or other taxes or requisite payments due from it in each respect in connection with any offer or acceptance in any jurisdiction and that it has not taken or omitted to take any action in breach of the terms of the </w:t>
      </w:r>
      <w:r>
        <w:t>Tender</w:t>
      </w:r>
      <w:r w:rsidRPr="00CD7901">
        <w:t xml:space="preserve"> </w:t>
      </w:r>
      <w:r w:rsidRPr="00742DEE">
        <w:t xml:space="preserve">Offer or which will or may result in the </w:t>
      </w:r>
      <w:r>
        <w:t xml:space="preserve">Offeror, </w:t>
      </w:r>
      <w:r w:rsidRPr="00742DEE">
        <w:t xml:space="preserve">the </w:t>
      </w:r>
      <w:r w:rsidR="0027613F">
        <w:t>Tender Agent</w:t>
      </w:r>
      <w:r w:rsidRPr="00742DEE">
        <w:t xml:space="preserve">, or any other person acting in breach of the legal or regulatory requirements of any such jurisdiction in connection with the </w:t>
      </w:r>
      <w:r>
        <w:t>Tender</w:t>
      </w:r>
      <w:r w:rsidRPr="00CD7901">
        <w:t xml:space="preserve"> </w:t>
      </w:r>
      <w:r w:rsidRPr="00742DEE">
        <w:t>Offer;</w:t>
      </w:r>
    </w:p>
    <w:p w:rsidRPr="00742DEE" w:rsidR="005003BC" w:rsidP="008F6E79" w:rsidRDefault="005003BC" w14:paraId="0C157EC6" w14:textId="473E7140">
      <w:pPr>
        <w:pStyle w:val="Alpha2-a0"/>
      </w:pPr>
      <w:r w:rsidRPr="00742DEE">
        <w:t>all authority conferred or agreed to be conferred pursuant to its acknowledgements, agreements, representations, warranties and undertakings, and all of its obligations will be binding upon its successors, assigns, heirs, executors, trustees in bankruptcy and legal representatives, and will not be affected by, and will survive, its death or incapacity;</w:t>
      </w:r>
    </w:p>
    <w:p w:rsidRPr="00742DEE" w:rsidR="005003BC" w:rsidP="008F6E79" w:rsidRDefault="005003BC" w14:paraId="2FAD2927" w14:textId="6920BEEC">
      <w:pPr>
        <w:pStyle w:val="Alpha2-a0"/>
      </w:pPr>
      <w:r w:rsidRPr="00742DEE">
        <w:t xml:space="preserve">no information has been provided to it by the </w:t>
      </w:r>
      <w:r>
        <w:t xml:space="preserve">Offeror, </w:t>
      </w:r>
      <w:r w:rsidRPr="00742DEE">
        <w:t xml:space="preserve">the </w:t>
      </w:r>
      <w:r w:rsidR="0027613F">
        <w:t>Tender Agent</w:t>
      </w:r>
      <w:r w:rsidRPr="00742DEE">
        <w:t>, or any of their respective directors</w:t>
      </w:r>
      <w:r>
        <w:t>, officers</w:t>
      </w:r>
      <w:r w:rsidRPr="00742DEE">
        <w:t xml:space="preserve"> or employees, with regard to the tax consequences for Noteholders arising from the purchase of Notes by the </w:t>
      </w:r>
      <w:r>
        <w:t xml:space="preserve">Offeror </w:t>
      </w:r>
      <w:r w:rsidRPr="00742DEE">
        <w:t>pursuant to the</w:t>
      </w:r>
      <w:r w:rsidRPr="00D81016">
        <w:t xml:space="preserve"> </w:t>
      </w:r>
      <w:r>
        <w:t>Tender</w:t>
      </w:r>
      <w:r w:rsidRPr="00742DEE">
        <w:t xml:space="preserve"> Offer</w:t>
      </w:r>
      <w:r w:rsidR="00964B6B">
        <w:t xml:space="preserve">, </w:t>
      </w:r>
      <w:r w:rsidRPr="00742DEE">
        <w:t xml:space="preserve">the receipt by the Noteholder of the </w:t>
      </w:r>
      <w:r>
        <w:t xml:space="preserve">relevant Purchase Price Payment </w:t>
      </w:r>
      <w:r w:rsidRPr="00742DEE">
        <w:t xml:space="preserve">and </w:t>
      </w:r>
      <w:r>
        <w:t xml:space="preserve">the </w:t>
      </w:r>
      <w:r w:rsidRPr="00742DEE">
        <w:t xml:space="preserve">Accrued Interest Payment, and it acknowledges that it is solely liable for any taxes and similar or related payments imposed on it under the laws of any applicable jurisdiction as a result of its participation in the </w:t>
      </w:r>
      <w:r>
        <w:t>Tender</w:t>
      </w:r>
      <w:r w:rsidRPr="00CD7901">
        <w:t xml:space="preserve"> </w:t>
      </w:r>
      <w:r w:rsidRPr="00742DEE">
        <w:t xml:space="preserve">Offer and agrees that it will not and does not have any right of recourse (whether by way of reimbursement, indemnity or otherwise) against the </w:t>
      </w:r>
      <w:r>
        <w:t xml:space="preserve">Offeror, </w:t>
      </w:r>
      <w:r w:rsidRPr="00742DEE">
        <w:t xml:space="preserve">the </w:t>
      </w:r>
      <w:r w:rsidR="0027613F">
        <w:t>Tender Agent</w:t>
      </w:r>
      <w:r w:rsidRPr="00742DEE">
        <w:t>, or any of their respective directors</w:t>
      </w:r>
      <w:r>
        <w:t>, officers</w:t>
      </w:r>
      <w:r w:rsidRPr="00742DEE">
        <w:t xml:space="preserve"> or employees, or any other person in respect of such taxes and payments;</w:t>
      </w:r>
    </w:p>
    <w:p w:rsidRPr="00742DEE" w:rsidR="005003BC" w:rsidP="008F6E79" w:rsidRDefault="005003BC" w14:paraId="211091FD" w14:textId="68FF64BE">
      <w:pPr>
        <w:pStyle w:val="Alpha2-a0"/>
      </w:pPr>
      <w:r w:rsidRPr="00742DEE">
        <w:t>it has had access to such financial and other information concerning the Notes, and has consulted with its own legal, regulatory, tax, business, investment, financial and accounting advisers, as it deems necessary or appropriate in order to make an informed decision with respect to its tendering of Notes for purchase in the</w:t>
      </w:r>
      <w:r>
        <w:t xml:space="preserve"> Tender</w:t>
      </w:r>
      <w:r w:rsidRPr="00742DEE">
        <w:t xml:space="preserve"> Offer; it is not relying on any communication (written or oral) made by any party involved in the</w:t>
      </w:r>
      <w:r>
        <w:t xml:space="preserve"> Tender</w:t>
      </w:r>
      <w:r w:rsidRPr="00742DEE">
        <w:t xml:space="preserve"> Offer or any such party</w:t>
      </w:r>
      <w:r>
        <w:t>’</w:t>
      </w:r>
      <w:r w:rsidRPr="00742DEE">
        <w:t xml:space="preserve">s affiliates as constituting a recommendation to tender Notes in the </w:t>
      </w:r>
      <w:r>
        <w:t>Tender</w:t>
      </w:r>
      <w:r w:rsidRPr="00CD7901">
        <w:t xml:space="preserve"> </w:t>
      </w:r>
      <w:r w:rsidRPr="00742DEE">
        <w:t xml:space="preserve">Offer; and it is able to bear the economic risks of participating in the </w:t>
      </w:r>
      <w:r>
        <w:t>Tender</w:t>
      </w:r>
      <w:r w:rsidRPr="00CD7901">
        <w:t xml:space="preserve"> </w:t>
      </w:r>
      <w:r w:rsidRPr="00742DEE">
        <w:t>Offer;</w:t>
      </w:r>
    </w:p>
    <w:p w:rsidRPr="00742DEE" w:rsidR="005003BC" w:rsidP="008F6E79" w:rsidRDefault="005003BC" w14:paraId="13BD6211" w14:textId="67A9C2A6">
      <w:pPr>
        <w:pStyle w:val="Alpha2-a0"/>
      </w:pPr>
      <w:r w:rsidRPr="00742DEE">
        <w:t xml:space="preserve">it is not a person to whom it is unlawful to make an invitation pursuant to the </w:t>
      </w:r>
      <w:r>
        <w:t>Tender</w:t>
      </w:r>
      <w:r w:rsidRPr="00CD7901">
        <w:t xml:space="preserve"> </w:t>
      </w:r>
      <w:r w:rsidRPr="00742DEE">
        <w:t xml:space="preserve">Offer under applicable securities laws and it has (before submitting, or arranging for the submission on its behalf, as the case may be, of the </w:t>
      </w:r>
      <w:r>
        <w:t>Tender</w:t>
      </w:r>
      <w:r w:rsidRPr="00CD7901">
        <w:t xml:space="preserve"> </w:t>
      </w:r>
      <w:r w:rsidR="007E3F63">
        <w:t>Instruction</w:t>
      </w:r>
      <w:r w:rsidRPr="00742DEE">
        <w:t xml:space="preserve">) complied with all laws and regulations applicable to it for the purposes of its participation in the </w:t>
      </w:r>
      <w:r>
        <w:t xml:space="preserve">Tender </w:t>
      </w:r>
      <w:r w:rsidRPr="00742DEE">
        <w:t>Offer;</w:t>
      </w:r>
    </w:p>
    <w:p w:rsidRPr="00742DEE" w:rsidR="005003BC" w:rsidP="008F6E79" w:rsidRDefault="005003BC" w14:paraId="6367E0C5" w14:textId="769D5017">
      <w:pPr>
        <w:pStyle w:val="Alpha2-a0"/>
      </w:pPr>
      <w:r w:rsidRPr="00B9161B">
        <w:t xml:space="preserve">it is not located in Italy or, if it is located in Italy, the relevant </w:t>
      </w:r>
      <w:r w:rsidRPr="003F2D08">
        <w:t xml:space="preserve">Tender Instruction </w:t>
      </w:r>
      <w:r w:rsidRPr="00B9161B">
        <w:t xml:space="preserve">is being submitted by or on behalf of the beneficial owners of the Notes through an authorised person (such as an investment firm, bank or financial intermediary permitted to conduct such activities in the Republic of Italy in accordance with the Financial Services Act, CONSOB Regulation No. 16190 of 29 October 2007, as amended from time to time, and Legislative Decree No. 385 of </w:t>
      </w:r>
      <w:r w:rsidR="00664471">
        <w:t xml:space="preserve">1 </w:t>
      </w:r>
      <w:r w:rsidRPr="00B9161B">
        <w:t>September 1993, as amended) and in compliance with applicable laws and regulations or with requirements imposed by CONSOB or any other Italian authority;</w:t>
      </w:r>
    </w:p>
    <w:p w:rsidRPr="00742DEE" w:rsidR="005003BC" w:rsidP="008F6E79" w:rsidRDefault="005003BC" w14:paraId="2326C10E" w14:textId="0C1670E1">
      <w:pPr>
        <w:pStyle w:val="Alpha2-a0"/>
      </w:pPr>
      <w:r w:rsidRPr="00B9161B">
        <w:t>it is not located or resident in the United Kingdom or, if it is located or resident in the United Kingdom, it is a person falling within the definition of investment professionals (as defined in Article 19(5) of the Financial Promotion Order) or within Article 43</w:t>
      </w:r>
      <w:r>
        <w:t>(2)</w:t>
      </w:r>
      <w:r w:rsidRPr="00B9161B">
        <w:t xml:space="preserve"> of the Financial Promotion Order, or to whom this </w:t>
      </w:r>
      <w:r w:rsidR="005C4C34">
        <w:t>Tender Offer Memorandum</w:t>
      </w:r>
      <w:r w:rsidRPr="00B9161B">
        <w:t xml:space="preserve"> and any other documents or materials relating to the </w:t>
      </w:r>
      <w:r>
        <w:t>Tender</w:t>
      </w:r>
      <w:r w:rsidRPr="00CD7901">
        <w:t xml:space="preserve"> </w:t>
      </w:r>
      <w:r w:rsidRPr="00B9161B">
        <w:t>Offer may otherwise lawfully be communicated in accordance with the Financial Promotion Order;</w:t>
      </w:r>
    </w:p>
    <w:p w:rsidRPr="00742DEE" w:rsidR="005003BC" w:rsidP="008F6E79" w:rsidRDefault="005003BC" w14:paraId="5B35B720" w14:textId="49343BE6">
      <w:pPr>
        <w:pStyle w:val="Alpha2-a0"/>
      </w:pPr>
      <w:r w:rsidRPr="00357B6B">
        <w:t xml:space="preserve">it is not located or resident in </w:t>
      </w:r>
      <w:r>
        <w:t>the Russian Federation</w:t>
      </w:r>
      <w:r w:rsidRPr="00357B6B">
        <w:t>;</w:t>
      </w:r>
    </w:p>
    <w:p w:rsidR="005003BC" w:rsidP="008F6E79" w:rsidRDefault="005003BC" w14:paraId="36BF1D18" w14:textId="076518E5">
      <w:pPr>
        <w:pStyle w:val="Alpha2-a0"/>
      </w:pPr>
      <w:r w:rsidRPr="00742DEE">
        <w:t>it is not a Sanctions Restricted Person;</w:t>
      </w:r>
    </w:p>
    <w:p w:rsidR="00BC716A" w:rsidP="008F6E79" w:rsidRDefault="005003BC" w14:paraId="6A6629B6" w14:textId="7CAEE3D2">
      <w:pPr>
        <w:pStyle w:val="Alpha2-a0"/>
      </w:pPr>
      <w:r w:rsidRPr="00742DEE">
        <w:lastRenderedPageBreak/>
        <w:t xml:space="preserve">it has full power and authority to tender the Notes it has tendered in the </w:t>
      </w:r>
      <w:r>
        <w:t>Tender</w:t>
      </w:r>
      <w:r w:rsidRPr="00CD7901">
        <w:t xml:space="preserve"> </w:t>
      </w:r>
      <w:r w:rsidRPr="00742DEE">
        <w:t>Offer</w:t>
      </w:r>
      <w:r w:rsidRPr="000B36B3">
        <w:t xml:space="preserve">, </w:t>
      </w:r>
      <w:r w:rsidRPr="0085615A" w:rsidR="0085615A">
        <w:t>and it will, upon request, execute and deliver any additional documents and/or do such other things deemed by the Offeror to be necessary or desirable to evidence such power and authority</w:t>
      </w:r>
      <w:r w:rsidR="00A638F5">
        <w:t>;</w:t>
      </w:r>
    </w:p>
    <w:p w:rsidRPr="00742DEE" w:rsidR="005003BC" w:rsidP="008F6E79" w:rsidRDefault="0013490D" w14:paraId="5CCBECB8" w14:textId="7E9080B9">
      <w:pPr>
        <w:pStyle w:val="Alpha2-a0"/>
      </w:pPr>
      <w:r>
        <w:t>it</w:t>
      </w:r>
      <w:r w:rsidRPr="000B36B3" w:rsidR="005003BC">
        <w:t xml:space="preserve"> will not transfer any beneficial interest in any such Notes to any other person (other than pursuant to the</w:t>
      </w:r>
      <w:r w:rsidRPr="00FD0070" w:rsidR="005003BC">
        <w:t xml:space="preserve"> </w:t>
      </w:r>
      <w:r w:rsidR="005003BC">
        <w:t>Tender</w:t>
      </w:r>
      <w:r w:rsidRPr="000B36B3" w:rsidR="005003BC">
        <w:t xml:space="preserve"> Offer) from the date of submission of the relev</w:t>
      </w:r>
      <w:r w:rsidR="005003BC">
        <w:t>a</w:t>
      </w:r>
      <w:r w:rsidRPr="000B36B3" w:rsidR="005003BC">
        <w:t xml:space="preserve">nt </w:t>
      </w:r>
      <w:r w:rsidRPr="003F2D08" w:rsidR="005003BC">
        <w:t>Tender Instruction</w:t>
      </w:r>
      <w:r w:rsidRPr="00837AE0" w:rsidR="005003BC">
        <w:t xml:space="preserve"> </w:t>
      </w:r>
      <w:r w:rsidRPr="000B36B3" w:rsidR="005003BC">
        <w:t xml:space="preserve">until the time of settlement of the </w:t>
      </w:r>
      <w:r w:rsidR="005003BC">
        <w:t>Tender</w:t>
      </w:r>
      <w:r w:rsidRPr="00CD7901" w:rsidR="005003BC">
        <w:t xml:space="preserve"> </w:t>
      </w:r>
      <w:r w:rsidRPr="000B36B3" w:rsidR="005003BC">
        <w:t>Offer on the Settlement</w:t>
      </w:r>
      <w:r w:rsidR="005003BC">
        <w:t xml:space="preserve"> Date</w:t>
      </w:r>
      <w:r w:rsidR="00304991">
        <w:t xml:space="preserve"> </w:t>
      </w:r>
      <w:r w:rsidRPr="000B36B3" w:rsidR="005003BC">
        <w:t xml:space="preserve">or until </w:t>
      </w:r>
      <w:r w:rsidRPr="00E4073D" w:rsidR="00E4073D">
        <w:t>the date of any termination of the Tender Offer</w:t>
      </w:r>
      <w:r w:rsidRPr="000B36B3" w:rsidR="005003BC">
        <w:t>,</w:t>
      </w:r>
      <w:r w:rsidRPr="00742DEE" w:rsidR="005003BC">
        <w:t xml:space="preserve"> and, if </w:t>
      </w:r>
      <w:r w:rsidR="003812E2">
        <w:t>the</w:t>
      </w:r>
      <w:r w:rsidRPr="00742DEE" w:rsidR="003812E2">
        <w:t xml:space="preserve"> </w:t>
      </w:r>
      <w:r w:rsidRPr="00742DEE" w:rsidR="005003BC">
        <w:t>Notes</w:t>
      </w:r>
      <w:r w:rsidR="003812E2">
        <w:t xml:space="preserve"> subject of the Tender Instruction</w:t>
      </w:r>
      <w:r w:rsidRPr="00742DEE" w:rsidR="005003BC">
        <w:t xml:space="preserve"> are accepted for purchase by the </w:t>
      </w:r>
      <w:r w:rsidR="005003BC">
        <w:t>Offeror</w:t>
      </w:r>
      <w:r w:rsidR="00977916">
        <w:t>,</w:t>
      </w:r>
      <w:r w:rsidRPr="00742DEE" w:rsidR="005003BC">
        <w:t xml:space="preserve"> such Notes will be transferred to, or to the order of, the </w:t>
      </w:r>
      <w:r w:rsidR="005003BC">
        <w:t>Offeror</w:t>
      </w:r>
      <w:r w:rsidRPr="00742DEE" w:rsidR="005003BC">
        <w:t xml:space="preserve"> with full title free from all liens, charges and encumbrances, not subject to any adverse claim and together with all rights attached to such Notes, and it will, upon request, execute and deliver any additional documents and/or do such other things deemed by the </w:t>
      </w:r>
      <w:r w:rsidRPr="00B428B3" w:rsidR="00B428B3">
        <w:t xml:space="preserve">Offeror </w:t>
      </w:r>
      <w:r w:rsidRPr="00742DEE" w:rsidR="005003BC">
        <w:t>to be necessary or desirable to complete the transfer of such Notes;</w:t>
      </w:r>
    </w:p>
    <w:p w:rsidRPr="00742DEE" w:rsidR="005003BC" w:rsidP="008F6E79" w:rsidRDefault="0013490D" w14:paraId="1645483B" w14:textId="2FD18E79">
      <w:pPr>
        <w:pStyle w:val="Alpha2-a0"/>
      </w:pPr>
      <w:r>
        <w:t>it</w:t>
      </w:r>
      <w:r w:rsidRPr="00742DEE" w:rsidR="005003BC">
        <w:t xml:space="preserve"> holds and will hold, until the time of settlement on </w:t>
      </w:r>
      <w:r w:rsidRPr="00183A3C" w:rsidR="005003BC">
        <w:t xml:space="preserve">the </w:t>
      </w:r>
      <w:r w:rsidRPr="0073477E" w:rsidR="005003BC">
        <w:t>Settlement</w:t>
      </w:r>
      <w:r w:rsidR="005003BC">
        <w:t xml:space="preserve"> Date,</w:t>
      </w:r>
      <w:r w:rsidRPr="00183A3C" w:rsidR="005003BC">
        <w:t xml:space="preserve"> </w:t>
      </w:r>
      <w:r w:rsidRPr="00742DEE" w:rsidR="005003BC">
        <w:t xml:space="preserve">the Notes </w:t>
      </w:r>
      <w:r w:rsidRPr="007E1088" w:rsidR="005003BC">
        <w:t xml:space="preserve">blocked in the relevant Clearing System </w:t>
      </w:r>
      <w:r w:rsidRPr="00742DEE" w:rsidR="005003BC">
        <w:t>and, in accordance with the requirements of, and by the deadline required by, such Clearing System, it has</w:t>
      </w:r>
      <w:r w:rsidR="005003BC">
        <w:t xml:space="preserve"> </w:t>
      </w:r>
      <w:r w:rsidRPr="00742DEE" w:rsidR="005003BC">
        <w:t>submitted, or has caused to be submitted, a</w:t>
      </w:r>
      <w:r w:rsidR="005003BC">
        <w:t xml:space="preserve"> </w:t>
      </w:r>
      <w:r w:rsidRPr="003F2D08" w:rsidR="005003BC">
        <w:t>Tender Instruction</w:t>
      </w:r>
      <w:r w:rsidR="003812E2">
        <w:t xml:space="preserve"> </w:t>
      </w:r>
      <w:r w:rsidRPr="00742DEE" w:rsidR="005003BC">
        <w:t>to such Clearing System</w:t>
      </w:r>
      <w:r w:rsidR="005003BC">
        <w:t xml:space="preserve"> and, in the case of Euroclear</w:t>
      </w:r>
      <w:r w:rsidRPr="00837AE0" w:rsidR="005003BC">
        <w:t xml:space="preserve"> </w:t>
      </w:r>
      <w:r w:rsidR="005003BC">
        <w:t xml:space="preserve">or </w:t>
      </w:r>
      <w:proofErr w:type="spellStart"/>
      <w:r w:rsidR="005003BC">
        <w:t>Clearstream</w:t>
      </w:r>
      <w:proofErr w:type="spellEnd"/>
      <w:r w:rsidR="005003BC">
        <w:t>, Luxembourg, it has</w:t>
      </w:r>
      <w:r w:rsidRPr="00742DEE" w:rsidR="005003BC">
        <w:t xml:space="preserve"> authorise</w:t>
      </w:r>
      <w:r w:rsidR="005003BC">
        <w:t>d</w:t>
      </w:r>
      <w:r w:rsidRPr="00742DEE" w:rsidR="005003BC">
        <w:t xml:space="preserve"> the blocking of the tendered Notes with effect on and from the date of such submission so that, at any time pending the transfer of such Notes on </w:t>
      </w:r>
      <w:r w:rsidRPr="00183A3C" w:rsidR="005003BC">
        <w:t xml:space="preserve">the </w:t>
      </w:r>
      <w:r w:rsidRPr="0073477E" w:rsidR="005003BC">
        <w:t>Settlement</w:t>
      </w:r>
      <w:r w:rsidR="005003BC">
        <w:t xml:space="preserve"> Date</w:t>
      </w:r>
      <w:r w:rsidRPr="00742DEE" w:rsidR="005003BC">
        <w:t xml:space="preserve"> to the </w:t>
      </w:r>
      <w:r w:rsidR="005003BC">
        <w:t>Offeror</w:t>
      </w:r>
      <w:r w:rsidRPr="00742DEE" w:rsidR="005003BC">
        <w:t xml:space="preserve"> or to its agent on its behalf</w:t>
      </w:r>
      <w:r w:rsidR="001F6E13">
        <w:t xml:space="preserve"> or </w:t>
      </w:r>
      <w:r w:rsidRPr="00B219D6" w:rsidR="00B219D6">
        <w:t>until the date of any termination of the Tender Offer</w:t>
      </w:r>
      <w:r w:rsidRPr="00742DEE" w:rsidR="005003BC">
        <w:t>, no transfers of such Notes may be effected;</w:t>
      </w:r>
    </w:p>
    <w:p w:rsidRPr="00742DEE" w:rsidR="005003BC" w:rsidP="008F6E79" w:rsidRDefault="005003BC" w14:paraId="7AF0BCCC" w14:textId="1553806A">
      <w:pPr>
        <w:pStyle w:val="Alpha2-a0"/>
      </w:pPr>
      <w:r w:rsidRPr="00742DEE">
        <w:t xml:space="preserve">the terms and conditions of the </w:t>
      </w:r>
      <w:r>
        <w:t>Tender</w:t>
      </w:r>
      <w:r w:rsidRPr="00CD7901">
        <w:t xml:space="preserve"> </w:t>
      </w:r>
      <w:r w:rsidRPr="00742DEE">
        <w:t xml:space="preserve">Offer will be deemed to be incorporated in, and form a part of, the relevant </w:t>
      </w:r>
      <w:r w:rsidRPr="005F6E3E">
        <w:t>Tender Instruction</w:t>
      </w:r>
      <w:r w:rsidRPr="00837AE0">
        <w:t xml:space="preserve"> </w:t>
      </w:r>
      <w:r w:rsidRPr="00742DEE">
        <w:t xml:space="preserve">which must be read and construed accordingly, and that the information given by or on behalf of such Noteholder in the relevant </w:t>
      </w:r>
      <w:r w:rsidRPr="005F6E3E">
        <w:t>Tender Instruction</w:t>
      </w:r>
      <w:r w:rsidRPr="00837AE0">
        <w:t xml:space="preserve"> </w:t>
      </w:r>
      <w:r w:rsidRPr="00742DEE">
        <w:t xml:space="preserve">is true and will be true in all respects at the time of the purchase of the Notes tendered on </w:t>
      </w:r>
      <w:r w:rsidRPr="00183A3C">
        <w:t xml:space="preserve">the </w:t>
      </w:r>
      <w:r w:rsidRPr="0073477E">
        <w:t>Settlement</w:t>
      </w:r>
      <w:r>
        <w:t xml:space="preserve"> Date</w:t>
      </w:r>
      <w:r w:rsidRPr="00742DEE">
        <w:t>;</w:t>
      </w:r>
      <w:r>
        <w:t xml:space="preserve"> and</w:t>
      </w:r>
    </w:p>
    <w:p w:rsidR="005003BC" w:rsidP="008F6E79" w:rsidRDefault="005003BC" w14:paraId="0087D540" w14:textId="24444AB2">
      <w:pPr>
        <w:pStyle w:val="Alpha2-a0"/>
      </w:pPr>
      <w:r w:rsidRPr="00742DEE">
        <w:t xml:space="preserve">it acknowledges that the </w:t>
      </w:r>
      <w:r>
        <w:t>Offeror</w:t>
      </w:r>
      <w:r w:rsidR="000D36B5">
        <w:t xml:space="preserve"> </w:t>
      </w:r>
      <w:r w:rsidRPr="00742DEE">
        <w:t xml:space="preserve">and the </w:t>
      </w:r>
      <w:r w:rsidR="0027613F">
        <w:t>Tender Agent</w:t>
      </w:r>
      <w:r w:rsidRPr="00742DEE">
        <w:t xml:space="preserve"> will rely upon the truth and accuracy of the foregoing acknowledgements, agreements, representations, warranties, undertakings and directions and it shall indemnify </w:t>
      </w:r>
      <w:r>
        <w:t>the Offeror</w:t>
      </w:r>
      <w:r w:rsidRPr="00742DEE">
        <w:t xml:space="preserve"> and the </w:t>
      </w:r>
      <w:r w:rsidR="0027613F">
        <w:t>Tender Agent</w:t>
      </w:r>
      <w:r w:rsidRPr="00742DEE">
        <w:t xml:space="preserve"> against all and any losses, costs, claims, liabilities, expenses, charges, actions or demands which any of them may incur or which may be made against any of them as a result of any breach of any of the terms of, or any of the agreements, representations, warranties and/or undertakings given in connection with the </w:t>
      </w:r>
      <w:r>
        <w:t>Tender</w:t>
      </w:r>
      <w:r w:rsidRPr="00CD7901">
        <w:t xml:space="preserve"> </w:t>
      </w:r>
      <w:r w:rsidRPr="00742DEE">
        <w:t>Offer.</w:t>
      </w:r>
    </w:p>
    <w:p w:rsidR="005003BC" w:rsidP="00914F5A" w:rsidRDefault="005003BC" w14:paraId="760CA488" w14:textId="32BC82AA">
      <w:pPr>
        <w:pStyle w:val="Body"/>
      </w:pPr>
      <w:r w:rsidRPr="007E1088">
        <w:t>The receipt of a</w:t>
      </w:r>
      <w:r>
        <w:t xml:space="preserve"> </w:t>
      </w:r>
      <w:r w:rsidRPr="005F6E3E">
        <w:t>Tender Instruction</w:t>
      </w:r>
      <w:r w:rsidRPr="00837AE0">
        <w:t xml:space="preserve"> </w:t>
      </w:r>
      <w:r w:rsidRPr="007E1088">
        <w:t xml:space="preserve">by the relevant Clearing System will constitute instructions to debit the securities account of the relevant Direct Participant on the </w:t>
      </w:r>
      <w:r w:rsidRPr="0073477E">
        <w:t>Settlement</w:t>
      </w:r>
      <w:r>
        <w:t xml:space="preserve"> Date</w:t>
      </w:r>
      <w:r w:rsidRPr="007E1088">
        <w:t>, in respect of all of the Notes that the relevant Noteholder has validly tendered in the</w:t>
      </w:r>
      <w:r>
        <w:t xml:space="preserve"> Tender</w:t>
      </w:r>
      <w:r w:rsidRPr="007E1088">
        <w:t xml:space="preserve"> Offer, upon receipt by such Clearing System of an instruction from the </w:t>
      </w:r>
      <w:r w:rsidR="0027613F">
        <w:t>Tender Agent</w:t>
      </w:r>
      <w:r w:rsidRPr="007E1088">
        <w:t xml:space="preserve"> for such Notes to be transferred to the specified account of the </w:t>
      </w:r>
      <w:r>
        <w:t>Offeror</w:t>
      </w:r>
      <w:r w:rsidRPr="007E1088">
        <w:t xml:space="preserve"> or its agent on its behalf and against payment by the </w:t>
      </w:r>
      <w:r>
        <w:t>Offeror</w:t>
      </w:r>
      <w:r w:rsidRPr="007E1088">
        <w:t xml:space="preserve"> of the </w:t>
      </w:r>
      <w:r>
        <w:t xml:space="preserve">relevant Purchase Price Payment and </w:t>
      </w:r>
      <w:r w:rsidRPr="007E1088">
        <w:t xml:space="preserve">the Accrued Interest Payment for such Notes, subject to the automatic </w:t>
      </w:r>
      <w:r>
        <w:t>revocation</w:t>
      </w:r>
      <w:r w:rsidRPr="007E1088">
        <w:t xml:space="preserve"> of those instructions on the date of any termination of the </w:t>
      </w:r>
      <w:r>
        <w:t>Tender</w:t>
      </w:r>
      <w:r w:rsidRPr="00CD7901">
        <w:t xml:space="preserve"> </w:t>
      </w:r>
      <w:r w:rsidRPr="007E1088">
        <w:t xml:space="preserve">Offer (including where such Notes are not accepted for purchase by the </w:t>
      </w:r>
      <w:r>
        <w:t>Offeror</w:t>
      </w:r>
      <w:r w:rsidRPr="007E1088">
        <w:t xml:space="preserve">), and subject to acceptance of the </w:t>
      </w:r>
      <w:r>
        <w:t>Tender</w:t>
      </w:r>
      <w:r w:rsidRPr="00CD7901">
        <w:t xml:space="preserve"> </w:t>
      </w:r>
      <w:r w:rsidRPr="007E1088">
        <w:t xml:space="preserve">Offer by the </w:t>
      </w:r>
      <w:r>
        <w:t>Offeror</w:t>
      </w:r>
      <w:r w:rsidRPr="007E1088">
        <w:t xml:space="preserve"> and all other conditions of the </w:t>
      </w:r>
      <w:r>
        <w:t>Tender</w:t>
      </w:r>
      <w:r w:rsidRPr="00CD7901">
        <w:t xml:space="preserve"> </w:t>
      </w:r>
      <w:r w:rsidRPr="007E1088">
        <w:t>Offer.</w:t>
      </w:r>
    </w:p>
    <w:p w:rsidRPr="00C70F2B" w:rsidR="005003BC" w:rsidP="009F2130" w:rsidRDefault="005003BC" w14:paraId="0D014A11" w14:textId="77777777">
      <w:pPr>
        <w:pStyle w:val="SubHead"/>
        <w:rPr>
          <w:sz w:val="22"/>
          <w:szCs w:val="22"/>
        </w:rPr>
      </w:pPr>
      <w:r w:rsidRPr="00C70F2B">
        <w:rPr>
          <w:sz w:val="22"/>
          <w:szCs w:val="22"/>
        </w:rPr>
        <w:t>Irregularities</w:t>
      </w:r>
    </w:p>
    <w:p w:rsidRPr="00742DEE" w:rsidR="005003BC" w:rsidP="00914F5A" w:rsidRDefault="005003BC" w14:paraId="058320E8" w14:textId="409F64AE">
      <w:pPr>
        <w:pStyle w:val="Body"/>
      </w:pPr>
      <w:r w:rsidRPr="00742DEE">
        <w:t>All questions as to the validity, form</w:t>
      </w:r>
      <w:r>
        <w:t xml:space="preserve"> and </w:t>
      </w:r>
      <w:r w:rsidRPr="00742DEE">
        <w:t xml:space="preserve">eligibility (including times of receipt) of any </w:t>
      </w:r>
      <w:r w:rsidRPr="003F0E00">
        <w:t>Tender Instruction</w:t>
      </w:r>
      <w:r w:rsidRPr="00837AE0">
        <w:t xml:space="preserve"> </w:t>
      </w:r>
      <w:r w:rsidRPr="00742DEE">
        <w:t xml:space="preserve">will be determined by the </w:t>
      </w:r>
      <w:r>
        <w:t>Offeror</w:t>
      </w:r>
      <w:r w:rsidR="00442B08">
        <w:t xml:space="preserve"> </w:t>
      </w:r>
      <w:r w:rsidRPr="00742DEE">
        <w:t xml:space="preserve">in </w:t>
      </w:r>
      <w:r w:rsidR="00340D7D">
        <w:t>its</w:t>
      </w:r>
      <w:r w:rsidR="00442B08">
        <w:t xml:space="preserve"> </w:t>
      </w:r>
      <w:r w:rsidRPr="00742DEE">
        <w:t>sole discretion</w:t>
      </w:r>
      <w:r w:rsidR="0042553E">
        <w:t>,</w:t>
      </w:r>
      <w:r w:rsidRPr="00742DEE">
        <w:t xml:space="preserve"> which determination will be final and binding</w:t>
      </w:r>
      <w:r w:rsidRPr="00E822FD">
        <w:t>.</w:t>
      </w:r>
    </w:p>
    <w:p w:rsidR="005003BC" w:rsidP="00914F5A" w:rsidRDefault="005003BC" w14:paraId="129216A3" w14:textId="48B1C58B">
      <w:pPr>
        <w:pStyle w:val="Body"/>
      </w:pPr>
      <w:r w:rsidRPr="00742DEE">
        <w:t xml:space="preserve">The </w:t>
      </w:r>
      <w:r w:rsidR="00726128">
        <w:t xml:space="preserve">Offeror </w:t>
      </w:r>
      <w:r w:rsidRPr="00742DEE">
        <w:t>reserve</w:t>
      </w:r>
      <w:r w:rsidR="00442B08">
        <w:t>s</w:t>
      </w:r>
      <w:r w:rsidRPr="00742DEE">
        <w:t xml:space="preserve"> the absolute right to reject any and all </w:t>
      </w:r>
      <w:r w:rsidRPr="003F0E00">
        <w:t>Tender Instruction</w:t>
      </w:r>
      <w:r>
        <w:t>s</w:t>
      </w:r>
      <w:r w:rsidR="00442B08">
        <w:t xml:space="preserve"> </w:t>
      </w:r>
      <w:r w:rsidRPr="00742DEE">
        <w:t xml:space="preserve">not in proper form or for which any corresponding agreement by the </w:t>
      </w:r>
      <w:r>
        <w:t>Offeror</w:t>
      </w:r>
      <w:r w:rsidRPr="00742DEE">
        <w:t xml:space="preserve"> to accept would, in the opinion of the </w:t>
      </w:r>
      <w:r>
        <w:t xml:space="preserve">Offeror </w:t>
      </w:r>
      <w:r w:rsidRPr="00742DEE">
        <w:t xml:space="preserve">and </w:t>
      </w:r>
      <w:r w:rsidR="00481D87">
        <w:t>its</w:t>
      </w:r>
      <w:r w:rsidR="00730F22">
        <w:t xml:space="preserve"> respective </w:t>
      </w:r>
      <w:r w:rsidRPr="00742DEE">
        <w:t xml:space="preserve">legal advisers, be unlawful. The </w:t>
      </w:r>
      <w:r w:rsidRPr="0007138C" w:rsidR="0007138C">
        <w:t xml:space="preserve">Offeror </w:t>
      </w:r>
      <w:r w:rsidRPr="00742DEE">
        <w:t>also reserve</w:t>
      </w:r>
      <w:r w:rsidR="00481444">
        <w:t>s</w:t>
      </w:r>
      <w:r w:rsidRPr="00742DEE">
        <w:t xml:space="preserve"> the absolute right to waive any defects, irregularities or delay in the submission of any and all </w:t>
      </w:r>
      <w:r w:rsidRPr="003F0E00">
        <w:t>Tender Instruction</w:t>
      </w:r>
      <w:r>
        <w:t>s</w:t>
      </w:r>
      <w:r w:rsidRPr="00742DEE">
        <w:t xml:space="preserve">. The </w:t>
      </w:r>
      <w:r w:rsidRPr="00ED1D4E" w:rsidR="00ED1D4E">
        <w:t xml:space="preserve">Offeror </w:t>
      </w:r>
      <w:r w:rsidRPr="00742DEE">
        <w:t>also reserve</w:t>
      </w:r>
      <w:r w:rsidR="00FF0D2A">
        <w:t>s</w:t>
      </w:r>
      <w:r w:rsidRPr="00742DEE">
        <w:t xml:space="preserve"> the absolute right to waive </w:t>
      </w:r>
      <w:r w:rsidRPr="00742DEE">
        <w:lastRenderedPageBreak/>
        <w:t>any such defect, irregularity or delay in respect of a particular tender of Notes,</w:t>
      </w:r>
      <w:r w:rsidR="00B92395">
        <w:t xml:space="preserve"> </w:t>
      </w:r>
      <w:r w:rsidRPr="00742DEE">
        <w:t xml:space="preserve">whether or not the </w:t>
      </w:r>
      <w:r w:rsidRPr="00B92395" w:rsidR="00B92395">
        <w:t xml:space="preserve">Offeror </w:t>
      </w:r>
      <w:r w:rsidRPr="00742DEE">
        <w:t>elects to waive similar defects, irregularities or any delay in respect of any other Notes.</w:t>
      </w:r>
    </w:p>
    <w:p w:rsidR="005003BC" w:rsidP="00914F5A" w:rsidRDefault="005003BC" w14:paraId="53B139D5" w14:textId="605F7ABB">
      <w:pPr>
        <w:pStyle w:val="Body"/>
      </w:pPr>
      <w:r w:rsidRPr="00742DEE">
        <w:t xml:space="preserve">Any defect, irregularity or delay must be cured within such time as the </w:t>
      </w:r>
      <w:r>
        <w:t xml:space="preserve">Offeror </w:t>
      </w:r>
      <w:r w:rsidRPr="00742DEE">
        <w:t xml:space="preserve">determines, unless waived by it. </w:t>
      </w:r>
      <w:r w:rsidRPr="008B27B7">
        <w:t>Tender Instruction</w:t>
      </w:r>
      <w:r w:rsidRPr="00742DEE">
        <w:t>s</w:t>
      </w:r>
      <w:r>
        <w:t xml:space="preserve"> </w:t>
      </w:r>
      <w:r w:rsidRPr="00742DEE">
        <w:t xml:space="preserve">will be deemed not to have been made until such defects, irregularities or delays have been cured or waived. None of </w:t>
      </w:r>
      <w:r>
        <w:t xml:space="preserve">the Offeror or any of </w:t>
      </w:r>
      <w:r w:rsidR="00BF5A15">
        <w:t>its</w:t>
      </w:r>
      <w:r w:rsidR="0017574B">
        <w:t xml:space="preserve"> </w:t>
      </w:r>
      <w:r>
        <w:t>affiliates or assigns,</w:t>
      </w:r>
      <w:r w:rsidRPr="00742DEE">
        <w:t xml:space="preserve"> </w:t>
      </w:r>
      <w:r>
        <w:t xml:space="preserve">the </w:t>
      </w:r>
      <w:r w:rsidR="0027613F">
        <w:t>Tender Agent</w:t>
      </w:r>
      <w:r w:rsidRPr="00742DEE">
        <w:t xml:space="preserve"> </w:t>
      </w:r>
      <w:r>
        <w:t xml:space="preserve">or any other person </w:t>
      </w:r>
      <w:r w:rsidRPr="00742DEE">
        <w:t xml:space="preserve">will be under any duty to give notice to a Noteholder of any defects, irregularities or delays in any </w:t>
      </w:r>
      <w:r w:rsidRPr="008B27B7">
        <w:t>Tender Instruction</w:t>
      </w:r>
      <w:r w:rsidR="00BF5A15">
        <w:t xml:space="preserve"> </w:t>
      </w:r>
      <w:r w:rsidRPr="00742DEE">
        <w:t>nor will any of them incur any liability for failure to give such notice.</w:t>
      </w:r>
    </w:p>
    <w:p w:rsidR="005003BC" w:rsidP="00914F5A" w:rsidRDefault="005003BC" w14:paraId="51048F59" w14:textId="38C3429A">
      <w:pPr>
        <w:pStyle w:val="Body"/>
      </w:pPr>
      <w:r w:rsidRPr="00706C82">
        <w:t xml:space="preserve">None of </w:t>
      </w:r>
      <w:r>
        <w:t xml:space="preserve">the </w:t>
      </w:r>
      <w:r w:rsidRPr="00B438FC">
        <w:t>Offeror</w:t>
      </w:r>
      <w:r>
        <w:t xml:space="preserve">, </w:t>
      </w:r>
      <w:r w:rsidRPr="00706C82">
        <w:t xml:space="preserve">the </w:t>
      </w:r>
      <w:r w:rsidR="0027613F">
        <w:t>Tender Agent</w:t>
      </w:r>
      <w:r>
        <w:t xml:space="preserve">, </w:t>
      </w:r>
      <w:r w:rsidRPr="00706C82">
        <w:t xml:space="preserve">or any of their respective directors, officers, employees, affiliates, advisers or agents accepts any responsibility for the failure of delivery of any </w:t>
      </w:r>
      <w:r>
        <w:t>Tender Instructions</w:t>
      </w:r>
      <w:r w:rsidR="00BF5A15">
        <w:t xml:space="preserve"> </w:t>
      </w:r>
      <w:r w:rsidRPr="00706C82">
        <w:t>or other notice or communication.</w:t>
      </w:r>
    </w:p>
    <w:p w:rsidRPr="00742DEE" w:rsidR="005003BC" w:rsidP="009F2130" w:rsidRDefault="005003BC" w14:paraId="36FC238C" w14:textId="77777777">
      <w:pPr>
        <w:pStyle w:val="Body"/>
      </w:pPr>
    </w:p>
    <w:p w:rsidRPr="00603CC9" w:rsidR="005003BC" w:rsidP="009F2130" w:rsidRDefault="00DC7EF1" w14:paraId="01EC8004" w14:textId="76F8AB17">
      <w:pPr>
        <w:pStyle w:val="Head-C"/>
      </w:pPr>
      <w:bookmarkStart w:name="_Toc122976078" w:id="44"/>
      <w:r w:rsidRPr="00603CC9">
        <w:lastRenderedPageBreak/>
        <w:t>A</w:t>
      </w:r>
      <w:r>
        <w:t>MENDMENT AND TERMINATION</w:t>
      </w:r>
      <w:bookmarkEnd w:id="44"/>
    </w:p>
    <w:p w:rsidR="005003BC" w:rsidP="00914F5A" w:rsidRDefault="005003BC" w14:paraId="0255DC7B" w14:textId="406F69B0">
      <w:pPr>
        <w:pStyle w:val="Body"/>
        <w:rPr>
          <w:color w:val="000000"/>
        </w:rPr>
      </w:pPr>
      <w:r>
        <w:rPr>
          <w:color w:val="000000"/>
        </w:rPr>
        <w:t xml:space="preserve">Notwithstanding any other provision </w:t>
      </w:r>
      <w:r w:rsidRPr="001A47B2">
        <w:rPr>
          <w:color w:val="000000"/>
        </w:rPr>
        <w:t>herein</w:t>
      </w:r>
      <w:r>
        <w:rPr>
          <w:color w:val="000000"/>
        </w:rPr>
        <w:t xml:space="preserve">, </w:t>
      </w:r>
      <w:r w:rsidR="000B0906">
        <w:rPr>
          <w:color w:val="000000"/>
        </w:rPr>
        <w:t xml:space="preserve">the </w:t>
      </w:r>
      <w:r>
        <w:rPr>
          <w:color w:val="000000"/>
        </w:rPr>
        <w:t xml:space="preserve">Offeror may, subject to applicable laws, at </w:t>
      </w:r>
      <w:r w:rsidR="00B9090D">
        <w:rPr>
          <w:color w:val="000000"/>
        </w:rPr>
        <w:t>it</w:t>
      </w:r>
      <w:r w:rsidR="007B59E1">
        <w:rPr>
          <w:color w:val="000000"/>
        </w:rPr>
        <w:t>s</w:t>
      </w:r>
      <w:r w:rsidR="00B9090D">
        <w:rPr>
          <w:color w:val="000000"/>
        </w:rPr>
        <w:t xml:space="preserve"> </w:t>
      </w:r>
      <w:r>
        <w:rPr>
          <w:color w:val="000000"/>
        </w:rPr>
        <w:t xml:space="preserve">option and in </w:t>
      </w:r>
      <w:r w:rsidR="00B9090D">
        <w:rPr>
          <w:color w:val="000000"/>
        </w:rPr>
        <w:t>its</w:t>
      </w:r>
      <w:r w:rsidR="000B0906">
        <w:rPr>
          <w:color w:val="000000"/>
        </w:rPr>
        <w:t xml:space="preserve"> </w:t>
      </w:r>
      <w:r>
        <w:rPr>
          <w:color w:val="000000"/>
        </w:rPr>
        <w:t xml:space="preserve">sole and absolute discretion, at any time before any acceptance by </w:t>
      </w:r>
      <w:r w:rsidR="004B7710">
        <w:rPr>
          <w:color w:val="000000"/>
        </w:rPr>
        <w:t xml:space="preserve">the Offeror </w:t>
      </w:r>
      <w:r>
        <w:rPr>
          <w:color w:val="000000"/>
        </w:rPr>
        <w:t>of the Notes tendered for purchase in the Tender Offer:</w:t>
      </w:r>
    </w:p>
    <w:p w:rsidR="005003BC" w:rsidP="00622101" w:rsidRDefault="005003BC" w14:paraId="32F80578" w14:textId="0D364A1A">
      <w:pPr>
        <w:pStyle w:val="Alpha2-a0"/>
        <w:numPr>
          <w:ilvl w:val="0"/>
          <w:numId w:val="72"/>
        </w:numPr>
      </w:pPr>
      <w:r>
        <w:t>extend the Expiration Deadline for</w:t>
      </w:r>
      <w:r w:rsidR="008747B7">
        <w:t xml:space="preserve"> </w:t>
      </w:r>
      <w:r>
        <w:t>the Tender Offer</w:t>
      </w:r>
      <w:r w:rsidR="000B0906">
        <w:t xml:space="preserve"> </w:t>
      </w:r>
      <w:r>
        <w:t xml:space="preserve">(in which case all references in this </w:t>
      </w:r>
      <w:r w:rsidR="005C4C34">
        <w:t>Tender Offer Memorandum</w:t>
      </w:r>
      <w:r>
        <w:t xml:space="preserve"> to “Expiration Deadline” shall, unless the context otherwise requires, be to the latest time and date to which the Expiration Deadline has been so extended);</w:t>
      </w:r>
    </w:p>
    <w:p w:rsidR="005003BC" w:rsidP="009F2130" w:rsidRDefault="005003BC" w14:paraId="6FF69B91" w14:textId="3EA51C58">
      <w:pPr>
        <w:pStyle w:val="Alpha2-a0"/>
      </w:pPr>
      <w:r>
        <w:t>otherwise extend</w:t>
      </w:r>
      <w:r w:rsidR="008747B7">
        <w:t xml:space="preserve"> </w:t>
      </w:r>
      <w:r>
        <w:t xml:space="preserve">or amend the </w:t>
      </w:r>
      <w:r w:rsidRPr="00D22C03">
        <w:t>Tender Offer</w:t>
      </w:r>
      <w:r w:rsidR="000B0906">
        <w:t xml:space="preserve"> </w:t>
      </w:r>
      <w:r>
        <w:t>in any respect (including, but not limited to, any increase, decrease, extension</w:t>
      </w:r>
      <w:r w:rsidR="008747B7">
        <w:t xml:space="preserve"> </w:t>
      </w:r>
      <w:r>
        <w:t>or amendment, as applicable, in relation to the Expiration Deadline, the Settlement Date, the Minimum Purchase Price</w:t>
      </w:r>
      <w:r w:rsidR="00E14673">
        <w:t xml:space="preserve"> </w:t>
      </w:r>
      <w:r>
        <w:t>and/or the Maximum Acceptance Amount);</w:t>
      </w:r>
    </w:p>
    <w:p w:rsidR="005003BC" w:rsidP="009F2130" w:rsidRDefault="005003BC" w14:paraId="62BB0BC0" w14:textId="45741F40">
      <w:pPr>
        <w:pStyle w:val="Alpha2-a0"/>
      </w:pPr>
      <w:r>
        <w:t>delay the acceptance of Tender Instructions</w:t>
      </w:r>
      <w:r w:rsidR="000B0906">
        <w:t xml:space="preserve"> </w:t>
      </w:r>
      <w:r>
        <w:t xml:space="preserve">or, subject to applicable law, the purchase of Notes validly tendered in the Tender Offer until satisfaction or waiver of the conditions to the Tender Offer, even </w:t>
      </w:r>
      <w:r w:rsidR="000B0906">
        <w:t>after the Expiration Deadline</w:t>
      </w:r>
      <w:r>
        <w:t>; or</w:t>
      </w:r>
    </w:p>
    <w:p w:rsidR="005003BC" w:rsidP="009F2130" w:rsidRDefault="005003BC" w14:paraId="3CBEAB2D" w14:textId="2DA1CA49">
      <w:pPr>
        <w:pStyle w:val="Alpha2-a0"/>
      </w:pPr>
      <w:r>
        <w:t>terminate the Tender Offer, including with respect to Tender Instructions submitted before the time of such termination.</w:t>
      </w:r>
    </w:p>
    <w:p w:rsidR="005003BC" w:rsidP="00480DF9" w:rsidRDefault="005003BC" w14:paraId="6655EEB0" w14:textId="1EEE3E3E">
      <w:pPr>
        <w:pStyle w:val="Body"/>
        <w:rPr>
          <w:color w:val="000000"/>
        </w:rPr>
      </w:pPr>
      <w:r w:rsidRPr="0075278D">
        <w:rPr>
          <w:color w:val="000000"/>
        </w:rPr>
        <w:t xml:space="preserve">In the event of an </w:t>
      </w:r>
      <w:r>
        <w:rPr>
          <w:color w:val="000000"/>
        </w:rPr>
        <w:t xml:space="preserve">amendment to the </w:t>
      </w:r>
      <w:r w:rsidRPr="00421F1F" w:rsidR="00421F1F">
        <w:rPr>
          <w:color w:val="000000"/>
        </w:rPr>
        <w:t xml:space="preserve">terms of </w:t>
      </w:r>
      <w:r w:rsidR="00421F1F">
        <w:rPr>
          <w:color w:val="000000"/>
        </w:rPr>
        <w:t xml:space="preserve">the </w:t>
      </w:r>
      <w:r>
        <w:rPr>
          <w:color w:val="000000"/>
        </w:rPr>
        <w:t>Tender Offer</w:t>
      </w:r>
      <w:r w:rsidRPr="0000185D" w:rsidR="0000185D">
        <w:t xml:space="preserve"> </w:t>
      </w:r>
      <w:r w:rsidR="0000185D">
        <w:t xml:space="preserve">that are not </w:t>
      </w:r>
      <w:r w:rsidRPr="0000185D" w:rsidR="0000185D">
        <w:rPr>
          <w:color w:val="000000"/>
        </w:rPr>
        <w:t xml:space="preserve">materially prejudicial to the interests of </w:t>
      </w:r>
      <w:r w:rsidR="0000185D">
        <w:rPr>
          <w:color w:val="000000"/>
        </w:rPr>
        <w:t>Note</w:t>
      </w:r>
      <w:r w:rsidR="003757B3">
        <w:rPr>
          <w:color w:val="000000"/>
        </w:rPr>
        <w:t>h</w:t>
      </w:r>
      <w:r w:rsidRPr="0000185D" w:rsidR="0000185D">
        <w:rPr>
          <w:color w:val="000000"/>
        </w:rPr>
        <w:t xml:space="preserve">olders that have already submitted Tender Instructions in the </w:t>
      </w:r>
      <w:r w:rsidR="003757B3">
        <w:rPr>
          <w:color w:val="000000"/>
        </w:rPr>
        <w:t xml:space="preserve">Tender </w:t>
      </w:r>
      <w:r w:rsidRPr="0000185D" w:rsidR="0000185D">
        <w:rPr>
          <w:color w:val="000000"/>
        </w:rPr>
        <w:t>Offer before the announcement of such amendment</w:t>
      </w:r>
      <w:r w:rsidRPr="0075278D">
        <w:rPr>
          <w:color w:val="000000"/>
        </w:rPr>
        <w:t xml:space="preserve">, </w:t>
      </w:r>
      <w:r w:rsidR="001E0830">
        <w:rPr>
          <w:color w:val="000000"/>
        </w:rPr>
        <w:t>then such</w:t>
      </w:r>
      <w:r w:rsidRPr="0075278D">
        <w:rPr>
          <w:color w:val="000000"/>
        </w:rPr>
        <w:t xml:space="preserve"> Tender Instructions </w:t>
      </w:r>
      <w:r w:rsidRPr="00AA649E" w:rsidR="00AA649E">
        <w:rPr>
          <w:color w:val="000000"/>
        </w:rPr>
        <w:t xml:space="preserve">shall </w:t>
      </w:r>
      <w:r w:rsidR="00AA649E">
        <w:rPr>
          <w:color w:val="000000"/>
        </w:rPr>
        <w:t xml:space="preserve">continue to </w:t>
      </w:r>
      <w:r w:rsidRPr="00AA649E" w:rsidR="00AA649E">
        <w:rPr>
          <w:color w:val="000000"/>
        </w:rPr>
        <w:t>be irrevocable</w:t>
      </w:r>
      <w:r w:rsidRPr="0075278D">
        <w:rPr>
          <w:color w:val="000000"/>
        </w:rPr>
        <w:t>.</w:t>
      </w:r>
    </w:p>
    <w:p w:rsidR="0037385D" w:rsidP="0037385D" w:rsidRDefault="0037385D" w14:paraId="4308F6FB" w14:textId="4FCBE69D">
      <w:pPr>
        <w:pStyle w:val="Body"/>
        <w:rPr>
          <w:color w:val="000000"/>
        </w:rPr>
      </w:pPr>
      <w:r w:rsidRPr="0037385D">
        <w:rPr>
          <w:color w:val="000000"/>
        </w:rPr>
        <w:t xml:space="preserve">For the avoidance of doubt, (a) a decision by the </w:t>
      </w:r>
      <w:r>
        <w:rPr>
          <w:color w:val="000000"/>
        </w:rPr>
        <w:t>Offeror</w:t>
      </w:r>
      <w:r w:rsidRPr="0037385D">
        <w:rPr>
          <w:color w:val="000000"/>
        </w:rPr>
        <w:t xml:space="preserve"> </w:t>
      </w:r>
      <w:r w:rsidRPr="00571BA8" w:rsidR="00571BA8">
        <w:rPr>
          <w:color w:val="000000"/>
        </w:rPr>
        <w:t xml:space="preserve">on any increase in </w:t>
      </w:r>
      <w:r w:rsidRPr="0037385D">
        <w:rPr>
          <w:color w:val="000000"/>
        </w:rPr>
        <w:t>the Maximum Acceptance Amount</w:t>
      </w:r>
      <w:r w:rsidR="00DC56D1">
        <w:t xml:space="preserve"> </w:t>
      </w:r>
      <w:r w:rsidRPr="0037385D">
        <w:rPr>
          <w:color w:val="000000"/>
        </w:rPr>
        <w:t xml:space="preserve">or (b) any extension of the </w:t>
      </w:r>
      <w:r w:rsidR="006D00CD">
        <w:rPr>
          <w:color w:val="000000"/>
        </w:rPr>
        <w:t xml:space="preserve">Tender </w:t>
      </w:r>
      <w:r w:rsidRPr="0037385D">
        <w:rPr>
          <w:color w:val="000000"/>
        </w:rPr>
        <w:t xml:space="preserve">Offer (including any amendment in relation to the Expiration Deadline and/or the Settlement Date) in accordance with the terms of the </w:t>
      </w:r>
      <w:r w:rsidR="006D00CD">
        <w:rPr>
          <w:color w:val="000000"/>
        </w:rPr>
        <w:t>Tender</w:t>
      </w:r>
      <w:r w:rsidRPr="0037385D">
        <w:rPr>
          <w:color w:val="000000"/>
        </w:rPr>
        <w:t xml:space="preserve"> Offer as described in this section </w:t>
      </w:r>
      <w:r w:rsidR="006D00CD">
        <w:rPr>
          <w:color w:val="000000"/>
        </w:rPr>
        <w:t>“</w:t>
      </w:r>
      <w:r w:rsidRPr="00024895" w:rsidR="00024895">
        <w:rPr>
          <w:i/>
          <w:iCs/>
          <w:color w:val="000000"/>
        </w:rPr>
        <w:t>Amendment and Termination</w:t>
      </w:r>
      <w:r w:rsidR="006D00CD">
        <w:rPr>
          <w:color w:val="000000"/>
        </w:rPr>
        <w:t>”</w:t>
      </w:r>
      <w:r w:rsidRPr="0037385D">
        <w:rPr>
          <w:color w:val="000000"/>
        </w:rPr>
        <w:t xml:space="preserve"> shall not be considered materially prejudicial to the interests of </w:t>
      </w:r>
      <w:r w:rsidR="003D0585">
        <w:rPr>
          <w:color w:val="000000"/>
        </w:rPr>
        <w:t>Noteh</w:t>
      </w:r>
      <w:r w:rsidRPr="0037385D">
        <w:rPr>
          <w:color w:val="000000"/>
        </w:rPr>
        <w:t>olders that have already submitted Tender Instructions before the announcement of such amendment.</w:t>
      </w:r>
    </w:p>
    <w:p w:rsidR="00A65488" w:rsidP="0037385D" w:rsidRDefault="00A65488" w14:paraId="760A183A" w14:textId="6B894992">
      <w:pPr>
        <w:pStyle w:val="Body"/>
        <w:rPr>
          <w:color w:val="000000"/>
        </w:rPr>
      </w:pPr>
      <w:r w:rsidRPr="00A65488">
        <w:rPr>
          <w:color w:val="000000"/>
        </w:rPr>
        <w:t xml:space="preserve">The </w:t>
      </w:r>
      <w:r w:rsidRPr="00013F27" w:rsidR="00013F27">
        <w:rPr>
          <w:color w:val="000000"/>
        </w:rPr>
        <w:t xml:space="preserve">Offeror </w:t>
      </w:r>
      <w:r w:rsidRPr="00A65488">
        <w:rPr>
          <w:color w:val="000000"/>
        </w:rPr>
        <w:t>will ensure Noteholders are notified of any such extension, amendment, delay or termination as soon as is reasonably practicable after the relevant decision is made.</w:t>
      </w:r>
    </w:p>
    <w:p w:rsidR="00A65488" w:rsidP="00A65488" w:rsidRDefault="00A65488" w14:paraId="4F612501" w14:textId="77056490">
      <w:pPr>
        <w:pStyle w:val="Body"/>
        <w:rPr>
          <w:color w:val="000000"/>
        </w:rPr>
      </w:pPr>
      <w:r>
        <w:rPr>
          <w:color w:val="000000"/>
        </w:rPr>
        <w:t xml:space="preserve">The </w:t>
      </w:r>
      <w:r w:rsidRPr="00013F27" w:rsidR="00013F27">
        <w:rPr>
          <w:color w:val="000000"/>
        </w:rPr>
        <w:t xml:space="preserve">Offeror </w:t>
      </w:r>
      <w:r>
        <w:rPr>
          <w:color w:val="000000"/>
        </w:rPr>
        <w:t>also reserve</w:t>
      </w:r>
      <w:r w:rsidR="004E4709">
        <w:rPr>
          <w:color w:val="000000"/>
        </w:rPr>
        <w:t>s</w:t>
      </w:r>
      <w:r>
        <w:rPr>
          <w:color w:val="000000"/>
        </w:rPr>
        <w:t xml:space="preserve"> the right at any time to waive any or all of the conditions of the Tender Offer</w:t>
      </w:r>
      <w:r w:rsidR="00013F27">
        <w:rPr>
          <w:color w:val="000000"/>
        </w:rPr>
        <w:t>,</w:t>
      </w:r>
      <w:r>
        <w:rPr>
          <w:color w:val="000000"/>
        </w:rPr>
        <w:t xml:space="preserve"> as set out in this </w:t>
      </w:r>
      <w:r w:rsidR="005C4C34">
        <w:rPr>
          <w:color w:val="000000"/>
        </w:rPr>
        <w:t>Tender Offer Memorandum</w:t>
      </w:r>
      <w:r>
        <w:rPr>
          <w:color w:val="000000"/>
        </w:rPr>
        <w:t>.</w:t>
      </w:r>
    </w:p>
    <w:p w:rsidR="00A65488" w:rsidP="00914F5A" w:rsidRDefault="00A65488" w14:paraId="2C0579C0" w14:textId="708375FB">
      <w:pPr>
        <w:pStyle w:val="Body"/>
        <w:rPr>
          <w:color w:val="000000"/>
        </w:rPr>
      </w:pPr>
    </w:p>
    <w:p w:rsidRPr="00742DEE" w:rsidR="005003BC" w:rsidP="009C3DC8" w:rsidRDefault="0027613F" w14:paraId="59221626" w14:textId="4CB524FA">
      <w:pPr>
        <w:pStyle w:val="Head-C"/>
      </w:pPr>
      <w:bookmarkStart w:name="_Toc122976080" w:id="45"/>
      <w:r>
        <w:lastRenderedPageBreak/>
        <w:t>TENDER AGENT</w:t>
      </w:r>
      <w:bookmarkEnd w:id="45"/>
    </w:p>
    <w:p w:rsidRPr="004A4574" w:rsidR="005003BC" w:rsidP="00914F5A" w:rsidRDefault="005003BC" w14:paraId="0BB89B68" w14:textId="2A0EBC14">
      <w:pPr>
        <w:pStyle w:val="Body"/>
      </w:pPr>
      <w:r w:rsidRPr="004A4574">
        <w:t>The</w:t>
      </w:r>
      <w:r>
        <w:t xml:space="preserve"> Offeror ha</w:t>
      </w:r>
      <w:r w:rsidR="004E4709">
        <w:t>s</w:t>
      </w:r>
      <w:r w:rsidRPr="004A4574">
        <w:t xml:space="preserve"> retained </w:t>
      </w:r>
      <w:r w:rsidRPr="0024115F">
        <w:t>GLAS Specialist Services Limited</w:t>
      </w:r>
      <w:r>
        <w:t xml:space="preserve"> </w:t>
      </w:r>
      <w:r w:rsidRPr="004A4574">
        <w:t xml:space="preserve">to act as </w:t>
      </w:r>
      <w:r w:rsidR="0027613F">
        <w:t>Tender Agent</w:t>
      </w:r>
      <w:r w:rsidRPr="004A4574">
        <w:t>.</w:t>
      </w:r>
    </w:p>
    <w:p w:rsidRPr="004A4574" w:rsidR="005003BC" w:rsidP="00914F5A" w:rsidRDefault="005003BC" w14:paraId="442E91F7" w14:textId="73F91364">
      <w:pPr>
        <w:pStyle w:val="Body"/>
      </w:pPr>
      <w:r>
        <w:t>N</w:t>
      </w:r>
      <w:r w:rsidR="009F08CD">
        <w:t>either</w:t>
      </w:r>
      <w:r>
        <w:t xml:space="preserve"> the </w:t>
      </w:r>
      <w:r w:rsidR="0027613F">
        <w:t>Tender Agent</w:t>
      </w:r>
      <w:r w:rsidR="00540668">
        <w:t xml:space="preserve"> </w:t>
      </w:r>
      <w:r w:rsidR="009F08CD">
        <w:t>n</w:t>
      </w:r>
      <w:r>
        <w:t>or</w:t>
      </w:r>
      <w:r w:rsidRPr="000B36B3">
        <w:t xml:space="preserve"> any of </w:t>
      </w:r>
      <w:r>
        <w:t>its</w:t>
      </w:r>
      <w:r w:rsidRPr="000B36B3">
        <w:t xml:space="preserve"> directors, officers, employees or affiliates is acting for any Noteholder, or will be responsible to any Noteholder for providing the protections afforded to its clients or for providing advice in relation to the </w:t>
      </w:r>
      <w:r>
        <w:t xml:space="preserve">Tender </w:t>
      </w:r>
      <w:r w:rsidRPr="000B36B3">
        <w:t>Offer</w:t>
      </w:r>
      <w:r w:rsidR="009F183A">
        <w:t xml:space="preserve"> </w:t>
      </w:r>
      <w:r w:rsidRPr="000B36B3">
        <w:t xml:space="preserve">and, accordingly, </w:t>
      </w:r>
      <w:r>
        <w:t>n</w:t>
      </w:r>
      <w:r w:rsidR="00540668">
        <w:t>either</w:t>
      </w:r>
      <w:r w:rsidRPr="004A4574">
        <w:t xml:space="preserve"> the </w:t>
      </w:r>
      <w:r w:rsidR="0027613F">
        <w:t>Tender Agent</w:t>
      </w:r>
      <w:r w:rsidR="00540668">
        <w:t xml:space="preserve"> no</w:t>
      </w:r>
      <w:r>
        <w:t>r any of its</w:t>
      </w:r>
      <w:r w:rsidRPr="004A4574">
        <w:t xml:space="preserve"> directors, officers, employees, agents or affiliates assumes any </w:t>
      </w:r>
      <w:r>
        <w:t xml:space="preserve">liability or </w:t>
      </w:r>
      <w:r w:rsidRPr="004A4574">
        <w:t>responsibility for the accuracy or completeness of the information concerning the</w:t>
      </w:r>
      <w:r>
        <w:t xml:space="preserve"> Tender</w:t>
      </w:r>
      <w:r w:rsidRPr="004A4574">
        <w:t xml:space="preserve"> Offer</w:t>
      </w:r>
      <w:r w:rsidR="0093118E">
        <w:t xml:space="preserve">, </w:t>
      </w:r>
      <w:r w:rsidRPr="004A4574">
        <w:t xml:space="preserve">the </w:t>
      </w:r>
      <w:r>
        <w:t>Offeror</w:t>
      </w:r>
      <w:r w:rsidRPr="004A4574">
        <w:t xml:space="preserve">, any of </w:t>
      </w:r>
      <w:r w:rsidR="006C65D4">
        <w:t>its</w:t>
      </w:r>
      <w:r w:rsidRPr="004A4574" w:rsidR="006C65D4">
        <w:t xml:space="preserve"> </w:t>
      </w:r>
      <w:r w:rsidRPr="004A4574">
        <w:t>affiliates</w:t>
      </w:r>
      <w:r>
        <w:t xml:space="preserve"> or</w:t>
      </w:r>
      <w:r w:rsidRPr="004A4574">
        <w:t xml:space="preserve"> the Notes contained in this </w:t>
      </w:r>
      <w:r w:rsidR="005C4C34">
        <w:t>Tender Offer Memorandum</w:t>
      </w:r>
      <w:r w:rsidRPr="004A4574">
        <w:t xml:space="preserve"> or for any failure by the</w:t>
      </w:r>
      <w:r>
        <w:t xml:space="preserve"> Offeror </w:t>
      </w:r>
      <w:r w:rsidRPr="004A4574">
        <w:t>to disclose events that may have occurred and may affect the significance or accuracy of such information.</w:t>
      </w:r>
    </w:p>
    <w:p w:rsidRPr="004A4574" w:rsidR="005003BC" w:rsidP="00914F5A" w:rsidRDefault="00540668" w14:paraId="49A27883" w14:textId="371EFA68">
      <w:pPr>
        <w:pStyle w:val="Body"/>
      </w:pPr>
      <w:r>
        <w:t>Neither</w:t>
      </w:r>
      <w:r w:rsidRPr="004A4574" w:rsidR="005003BC">
        <w:t xml:space="preserve"> the </w:t>
      </w:r>
      <w:r w:rsidR="0027613F">
        <w:t>Tender Agent</w:t>
      </w:r>
      <w:r>
        <w:t xml:space="preserve"> n</w:t>
      </w:r>
      <w:r w:rsidRPr="004A4574" w:rsidR="005003BC">
        <w:t xml:space="preserve">or any of </w:t>
      </w:r>
      <w:r>
        <w:t>its</w:t>
      </w:r>
      <w:r w:rsidR="00CC6C38">
        <w:t xml:space="preserve"> </w:t>
      </w:r>
      <w:r w:rsidRPr="004A4574" w:rsidR="005003BC">
        <w:t xml:space="preserve">directors, officers, employees or affiliates makes any representation or recommendation whatsoever regarding the </w:t>
      </w:r>
      <w:r w:rsidR="005003BC">
        <w:t xml:space="preserve">Tender </w:t>
      </w:r>
      <w:r w:rsidRPr="004A4574" w:rsidR="005003BC">
        <w:t>Offer</w:t>
      </w:r>
      <w:r w:rsidR="00C446B1">
        <w:t xml:space="preserve"> </w:t>
      </w:r>
      <w:r w:rsidRPr="004A4574" w:rsidR="005003BC">
        <w:t xml:space="preserve">or any recommendation as to whether </w:t>
      </w:r>
      <w:r w:rsidR="005003BC">
        <w:t>or not Noteholders</w:t>
      </w:r>
      <w:r w:rsidRPr="004A4574" w:rsidR="005003BC">
        <w:t xml:space="preserve"> should tender Notes in the </w:t>
      </w:r>
      <w:r w:rsidR="005003BC">
        <w:t xml:space="preserve">Tender </w:t>
      </w:r>
      <w:r w:rsidRPr="004A4574" w:rsidR="005003BC">
        <w:t>Offer.</w:t>
      </w:r>
    </w:p>
    <w:p w:rsidRPr="00742DEE" w:rsidR="005003BC" w:rsidP="00914F5A" w:rsidRDefault="005003BC" w14:paraId="78F613E0" w14:textId="00FB1901">
      <w:pPr>
        <w:pStyle w:val="Body"/>
      </w:pPr>
      <w:r w:rsidRPr="004A4574">
        <w:t xml:space="preserve">The </w:t>
      </w:r>
      <w:r w:rsidR="0027613F">
        <w:t>Tender Agent</w:t>
      </w:r>
      <w:r w:rsidRPr="004A4574">
        <w:t xml:space="preserve"> </w:t>
      </w:r>
      <w:r w:rsidR="00A11914">
        <w:t>is</w:t>
      </w:r>
      <w:r w:rsidRPr="004A4574">
        <w:t xml:space="preserve"> the agent of the</w:t>
      </w:r>
      <w:r>
        <w:t xml:space="preserve"> Offeror </w:t>
      </w:r>
      <w:r w:rsidRPr="004A4574">
        <w:t>and owe</w:t>
      </w:r>
      <w:r w:rsidR="00A11914">
        <w:t>s</w:t>
      </w:r>
      <w:r w:rsidRPr="004A4574">
        <w:t xml:space="preserve"> no duty to any </w:t>
      </w:r>
      <w:r>
        <w:t>Noteholder</w:t>
      </w:r>
      <w:r w:rsidRPr="004A4574">
        <w:t>.</w:t>
      </w:r>
    </w:p>
    <w:p w:rsidR="005003BC" w:rsidP="009C3DC8" w:rsidRDefault="005003BC" w14:paraId="136573DC" w14:textId="77777777">
      <w:pPr>
        <w:pStyle w:val="Body"/>
      </w:pPr>
    </w:p>
    <w:p w:rsidR="00FD3372" w:rsidP="00595269" w:rsidRDefault="00FD3372" w14:paraId="1E3425AA" w14:textId="3CF4AB22">
      <w:pPr>
        <w:spacing w:after="240" w:line="240" w:lineRule="auto"/>
        <w:jc w:val="right"/>
        <w:sectPr w:rsidR="00FD3372" w:rsidSect="008830BF">
          <w:headerReference w:type="first" r:id="rId19"/>
          <w:pgSz w:w="11907" w:h="16840" w:orient="portrait" w:code="9"/>
          <w:pgMar w:top="1412" w:right="1367" w:bottom="1985" w:left="1281" w:header="1049" w:footer="873" w:gutter="0"/>
          <w:cols w:space="720"/>
          <w:titlePg/>
        </w:sectPr>
      </w:pPr>
    </w:p>
    <w:tbl>
      <w:tblPr>
        <w:tblW w:w="9472" w:type="dxa"/>
        <w:jc w:val="center"/>
        <w:tblLayout w:type="fixed"/>
        <w:tblLook w:val="0000" w:firstRow="0" w:lastRow="0" w:firstColumn="0" w:lastColumn="0" w:noHBand="0" w:noVBand="0"/>
      </w:tblPr>
      <w:tblGrid>
        <w:gridCol w:w="9472"/>
      </w:tblGrid>
      <w:tr w:rsidRPr="00B90D64" w:rsidR="006F1092" w:rsidTr="006F1092" w14:paraId="0B70ADCC" w14:textId="77777777">
        <w:trPr>
          <w:cantSplit/>
          <w:trHeight w:val="388"/>
          <w:jc w:val="center"/>
        </w:trPr>
        <w:tc>
          <w:tcPr>
            <w:tcW w:w="9472" w:type="dxa"/>
          </w:tcPr>
          <w:p w:rsidRPr="00DE0B9D" w:rsidR="006F1092" w:rsidRDefault="006F1092" w14:paraId="1B8D011E" w14:textId="54F5A3EF">
            <w:pPr>
              <w:pStyle w:val="Parties"/>
              <w:rPr>
                <w:sz w:val="20"/>
              </w:rPr>
            </w:pPr>
            <w:bookmarkStart w:name="_Toc122976081" w:id="46"/>
            <w:r w:rsidRPr="00DE0B9D">
              <w:rPr>
                <w:sz w:val="20"/>
              </w:rPr>
              <w:lastRenderedPageBreak/>
              <w:t>THE OFFEROR</w:t>
            </w:r>
            <w:bookmarkEnd w:id="46"/>
          </w:p>
        </w:tc>
      </w:tr>
      <w:tr w:rsidRPr="00B90D64" w:rsidR="006F1092" w:rsidTr="006F1092" w14:paraId="275AEEDC" w14:textId="77777777">
        <w:trPr>
          <w:cantSplit/>
          <w:trHeight w:val="622"/>
          <w:jc w:val="center"/>
        </w:trPr>
        <w:tc>
          <w:tcPr>
            <w:tcW w:w="9472" w:type="dxa"/>
          </w:tcPr>
          <w:p w:rsidRPr="00DE0B9D" w:rsidR="006F1092" w:rsidP="008C15BC" w:rsidRDefault="008E7582" w14:paraId="7CC8330A" w14:textId="637A2920">
            <w:pPr>
              <w:pStyle w:val="Parties"/>
              <w:rPr>
                <w:b w:val="0"/>
                <w:sz w:val="20"/>
              </w:rPr>
            </w:pPr>
            <w:bookmarkStart w:name="_Toc122976082" w:id="47"/>
            <w:r w:rsidRPr="008E7582">
              <w:rPr>
                <w:sz w:val="20"/>
              </w:rPr>
              <w:t>DTEK Holdings Limited</w:t>
            </w:r>
            <w:r w:rsidRPr="00DE0B9D" w:rsidR="006F1092">
              <w:rPr>
                <w:sz w:val="20"/>
              </w:rPr>
              <w:br/>
            </w:r>
            <w:proofErr w:type="spellStart"/>
            <w:r w:rsidRPr="00954972" w:rsidR="00954972">
              <w:rPr>
                <w:b w:val="0"/>
                <w:bCs/>
                <w:sz w:val="20"/>
              </w:rPr>
              <w:t>Themistokli</w:t>
            </w:r>
            <w:proofErr w:type="spellEnd"/>
            <w:r w:rsidRPr="00954972" w:rsidR="00954972">
              <w:rPr>
                <w:b w:val="0"/>
                <w:bCs/>
                <w:sz w:val="20"/>
              </w:rPr>
              <w:t xml:space="preserve"> </w:t>
            </w:r>
            <w:proofErr w:type="spellStart"/>
            <w:r w:rsidRPr="00954972" w:rsidR="00954972">
              <w:rPr>
                <w:b w:val="0"/>
                <w:bCs/>
                <w:sz w:val="20"/>
              </w:rPr>
              <w:t>Dervi</w:t>
            </w:r>
            <w:proofErr w:type="spellEnd"/>
            <w:r w:rsidRPr="00954972" w:rsidR="00954972">
              <w:rPr>
                <w:b w:val="0"/>
                <w:bCs/>
                <w:sz w:val="20"/>
              </w:rPr>
              <w:t>, 3, J</w:t>
            </w:r>
            <w:r w:rsidR="0095616C">
              <w:rPr>
                <w:b w:val="0"/>
                <w:bCs/>
                <w:sz w:val="20"/>
              </w:rPr>
              <w:t>ulia</w:t>
            </w:r>
            <w:r w:rsidRPr="00954972" w:rsidR="00954972">
              <w:rPr>
                <w:b w:val="0"/>
                <w:bCs/>
                <w:sz w:val="20"/>
              </w:rPr>
              <w:t xml:space="preserve"> H</w:t>
            </w:r>
            <w:r w:rsidR="0095616C">
              <w:rPr>
                <w:b w:val="0"/>
                <w:bCs/>
                <w:sz w:val="20"/>
              </w:rPr>
              <w:t>ouse</w:t>
            </w:r>
            <w:r w:rsidRPr="00DE0B9D" w:rsidR="00961F93">
              <w:rPr>
                <w:b w:val="0"/>
                <w:bCs/>
                <w:sz w:val="20"/>
              </w:rPr>
              <w:br/>
            </w:r>
            <w:r w:rsidRPr="0095616C" w:rsidR="0095616C">
              <w:rPr>
                <w:b w:val="0"/>
                <w:bCs/>
                <w:sz w:val="20"/>
              </w:rPr>
              <w:t>1066 Nicosia, Cyprus</w:t>
            </w:r>
            <w:bookmarkEnd w:id="47"/>
          </w:p>
        </w:tc>
      </w:tr>
      <w:tr w:rsidRPr="006F1092" w:rsidR="006F1092" w:rsidTr="006F1092" w14:paraId="6F7620F2" w14:textId="77777777">
        <w:trPr>
          <w:cantSplit/>
          <w:jc w:val="center"/>
        </w:trPr>
        <w:tc>
          <w:tcPr>
            <w:tcW w:w="9472" w:type="dxa"/>
          </w:tcPr>
          <w:p w:rsidRPr="00DE0B9D" w:rsidR="006F1092" w:rsidRDefault="006F1092" w14:paraId="6A80EFA3" w14:textId="77777777">
            <w:pPr>
              <w:pStyle w:val="Parties"/>
              <w:rPr>
                <w:sz w:val="20"/>
              </w:rPr>
            </w:pPr>
          </w:p>
        </w:tc>
      </w:tr>
      <w:tr w:rsidRPr="007A0FF2" w:rsidR="007A0FF2" w:rsidTr="006F1092" w14:paraId="13FA275B" w14:textId="77777777">
        <w:trPr>
          <w:cantSplit/>
          <w:jc w:val="center"/>
        </w:trPr>
        <w:tc>
          <w:tcPr>
            <w:tcW w:w="9472" w:type="dxa"/>
          </w:tcPr>
          <w:p w:rsidRPr="00DE0B9D" w:rsidR="007A0FF2" w:rsidRDefault="00DB21A4" w14:paraId="6CF1D15F" w14:textId="5FE4B910">
            <w:pPr>
              <w:pStyle w:val="Parties"/>
              <w:rPr>
                <w:sz w:val="20"/>
              </w:rPr>
            </w:pPr>
            <w:bookmarkStart w:name="_Toc122976083" w:id="48"/>
            <w:r w:rsidRPr="00DE0B9D">
              <w:rPr>
                <w:sz w:val="20"/>
              </w:rPr>
              <w:t xml:space="preserve">THE </w:t>
            </w:r>
            <w:r w:rsidR="0027613F">
              <w:rPr>
                <w:sz w:val="20"/>
              </w:rPr>
              <w:t>TENDER AGENT</w:t>
            </w:r>
            <w:bookmarkEnd w:id="48"/>
          </w:p>
        </w:tc>
      </w:tr>
      <w:tr w:rsidRPr="007A0FF2" w:rsidR="007A0FF2" w:rsidTr="006F1092" w14:paraId="443C223C" w14:textId="77777777">
        <w:trPr>
          <w:cantSplit/>
          <w:jc w:val="center"/>
        </w:trPr>
        <w:tc>
          <w:tcPr>
            <w:tcW w:w="9472" w:type="dxa"/>
          </w:tcPr>
          <w:p w:rsidRPr="00DE0B9D" w:rsidR="007A0FF2" w:rsidP="0007789C" w:rsidRDefault="0007789C" w14:paraId="4290B352" w14:textId="4FE8E8F7">
            <w:pPr>
              <w:pStyle w:val="Parties"/>
              <w:rPr>
                <w:sz w:val="20"/>
              </w:rPr>
            </w:pPr>
            <w:bookmarkStart w:name="_Toc122976084" w:id="49"/>
            <w:r w:rsidRPr="00DE0B9D">
              <w:rPr>
                <w:sz w:val="20"/>
              </w:rPr>
              <w:t>GLAS Specialist Services Limited</w:t>
            </w:r>
            <w:r w:rsidRPr="00DE0B9D">
              <w:rPr>
                <w:sz w:val="20"/>
              </w:rPr>
              <w:br/>
            </w:r>
            <w:r w:rsidRPr="00DE0B9D">
              <w:rPr>
                <w:b w:val="0"/>
                <w:bCs/>
                <w:sz w:val="20"/>
              </w:rPr>
              <w:t>Telephone: +44 (0) 20 3597 2940</w:t>
            </w:r>
            <w:r w:rsidRPr="00DE0B9D">
              <w:rPr>
                <w:b w:val="0"/>
                <w:bCs/>
                <w:sz w:val="20"/>
              </w:rPr>
              <w:br/>
            </w:r>
            <w:r w:rsidRPr="00DE0B9D">
              <w:rPr>
                <w:b w:val="0"/>
                <w:bCs/>
                <w:sz w:val="20"/>
              </w:rPr>
              <w:t xml:space="preserve">Attention: </w:t>
            </w:r>
            <w:r w:rsidRPr="00B72DB6" w:rsidR="00BC7529">
              <w:rPr>
                <w:b w:val="0"/>
                <w:bCs/>
                <w:sz w:val="20"/>
              </w:rPr>
              <w:t>DCM Liability Management – DTEK Tender</w:t>
            </w:r>
            <w:r w:rsidRPr="00BC7529" w:rsidR="00BC7529">
              <w:rPr>
                <w:b w:val="0"/>
                <w:bCs/>
                <w:sz w:val="20"/>
              </w:rPr>
              <w:t xml:space="preserve"> </w:t>
            </w:r>
            <w:r w:rsidRPr="00DE0B9D">
              <w:rPr>
                <w:b w:val="0"/>
                <w:bCs/>
                <w:sz w:val="20"/>
              </w:rPr>
              <w:br/>
            </w:r>
            <w:r w:rsidRPr="00DE0B9D">
              <w:rPr>
                <w:b w:val="0"/>
                <w:bCs/>
                <w:sz w:val="20"/>
              </w:rPr>
              <w:t xml:space="preserve">Email: </w:t>
            </w:r>
            <w:proofErr w:type="spellStart"/>
            <w:r w:rsidRPr="00DE0B9D">
              <w:rPr>
                <w:b w:val="0"/>
                <w:bCs/>
                <w:sz w:val="20"/>
              </w:rPr>
              <w:t>lm@glas.agency</w:t>
            </w:r>
            <w:bookmarkEnd w:id="49"/>
            <w:proofErr w:type="spellEnd"/>
          </w:p>
        </w:tc>
      </w:tr>
      <w:tr w:rsidRPr="007A0FF2" w:rsidR="007A0FF2" w:rsidTr="006F1092" w14:paraId="2DC924F5" w14:textId="77777777">
        <w:trPr>
          <w:cantSplit/>
          <w:jc w:val="center"/>
        </w:trPr>
        <w:tc>
          <w:tcPr>
            <w:tcW w:w="9472" w:type="dxa"/>
          </w:tcPr>
          <w:p w:rsidRPr="007A0FF2" w:rsidR="007A0FF2" w:rsidRDefault="007A0FF2" w14:paraId="2149F859" w14:textId="77777777">
            <w:pPr>
              <w:pStyle w:val="Parties"/>
              <w:rPr>
                <w:sz w:val="8"/>
                <w:szCs w:val="8"/>
              </w:rPr>
            </w:pPr>
          </w:p>
        </w:tc>
      </w:tr>
      <w:tr w:rsidRPr="00B90D64" w:rsidR="006F1092" w:rsidTr="006F1092" w14:paraId="37CC3CAB" w14:textId="77777777">
        <w:trPr>
          <w:cantSplit/>
          <w:jc w:val="center"/>
        </w:trPr>
        <w:tc>
          <w:tcPr>
            <w:tcW w:w="9472" w:type="dxa"/>
          </w:tcPr>
          <w:p w:rsidRPr="00B90D64" w:rsidR="006F1092" w:rsidRDefault="006F1092" w14:paraId="64B6118D" w14:textId="77777777">
            <w:pPr>
              <w:pStyle w:val="Parties"/>
            </w:pPr>
          </w:p>
        </w:tc>
      </w:tr>
    </w:tbl>
    <w:p w:rsidR="006F1092" w:rsidP="005003BC" w:rsidRDefault="006F1092" w14:paraId="2D3DEE27" w14:textId="77777777">
      <w:pPr>
        <w:spacing w:after="240" w:line="240" w:lineRule="auto"/>
      </w:pPr>
    </w:p>
    <w:bookmarkEnd w:id="2"/>
    <w:p w:rsidR="001C0FA9" w:rsidP="00D06258" w:rsidRDefault="001C0FA9" w14:paraId="5ACCC59C" w14:textId="77777777">
      <w:pPr>
        <w:pStyle w:val="Body"/>
      </w:pPr>
    </w:p>
    <w:sectPr w:rsidR="001C0FA9" w:rsidSect="008830BF">
      <w:footerReference w:type="even" r:id="rId20"/>
      <w:footerReference w:type="default" r:id="rId21"/>
      <w:footerReference w:type="first" r:id="rId22"/>
      <w:pgSz w:w="11907" w:h="16840" w:orient="portrait" w:code="9"/>
      <w:pgMar w:top="1412" w:right="1367" w:bottom="1985" w:left="1281" w:header="1049" w:footer="87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C08CB" w:rsidP="006F1092" w:rsidRDefault="005C08CB" w14:paraId="3434D6CA" w14:textId="77777777">
      <w:pPr>
        <w:spacing w:after="0" w:line="240" w:lineRule="auto"/>
      </w:pPr>
      <w:r>
        <w:separator/>
      </w:r>
    </w:p>
  </w:endnote>
  <w:endnote w:type="continuationSeparator" w:id="0">
    <w:p w:rsidR="005C08CB" w:rsidP="006F1092" w:rsidRDefault="005C08CB" w14:paraId="07979F1E" w14:textId="77777777">
      <w:pPr>
        <w:spacing w:after="0" w:line="240" w:lineRule="auto"/>
      </w:pPr>
      <w:r>
        <w:continuationSeparator/>
      </w:r>
    </w:p>
  </w:endnote>
  <w:endnote w:type="continuationNotice" w:id="1">
    <w:p w:rsidR="005C08CB" w:rsidRDefault="005C08CB" w14:paraId="074EBD5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A6688" w:rsidP="00182EEE" w:rsidRDefault="00BA6688" w14:paraId="5F4F9C42" w14:textId="77777777">
    <w:pPr>
      <w:pStyle w:val="Footer"/>
      <w:spacing w:after="240" w:line="290" w:lineRule="auto"/>
    </w:pPr>
    <w:bookmarkStart w:name="bmkDated" w:id="3"/>
    <w:bookmarkEnd w:id="3"/>
  </w:p>
  <w:p w:rsidR="00BA6688" w:rsidRDefault="00BA6688" w14:paraId="0C2A82C5" w14:textId="5A0390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A6688" w:rsidP="00605EB4" w:rsidRDefault="00BA6688" w14:paraId="7868C250" w14:textId="55D20680">
    <w:pPr>
      <w:pStyle w:val="Footer"/>
    </w:pPr>
    <w:r>
      <w:tab/>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3</w:t>
    </w:r>
    <w:r>
      <w:rPr>
        <w:rStyle w:val="PageNumbe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A6688" w:rsidP="00B17B3B" w:rsidRDefault="00BA6688" w14:paraId="47198A20" w14:textId="5DBF2254">
    <w:pPr>
      <w:pStyle w:val="Footer"/>
    </w:pPr>
    <w:r>
      <w:tab/>
    </w:r>
    <w:r>
      <w:rPr>
        <w:rStyle w:val="PageNumber"/>
        <w:sz w:val="20"/>
      </w:rPr>
      <w:fldChar w:fldCharType="begin"/>
    </w:r>
    <w:r>
      <w:rPr>
        <w:rStyle w:val="PageNumber"/>
        <w:sz w:val="20"/>
      </w:rPr>
      <w:instrText xml:space="preserve"> PAGE </w:instrText>
    </w:r>
    <w:r>
      <w:rPr>
        <w:rStyle w:val="PageNumber"/>
        <w:sz w:val="20"/>
      </w:rPr>
      <w:fldChar w:fldCharType="separate"/>
    </w:r>
    <w:r w:rsidR="00FF5E06">
      <w:rPr>
        <w:rStyle w:val="PageNumber"/>
        <w:noProof/>
        <w:sz w:val="20"/>
      </w:rPr>
      <w:t>2</w:t>
    </w:r>
    <w:r>
      <w:rPr>
        <w:rStyle w:val="PageNumber"/>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F1092" w:rsidRDefault="006F1092" w14:paraId="199EA6F7"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F1092" w:rsidP="00605EB4" w:rsidRDefault="006F1092" w14:paraId="0BD03384" w14:textId="0894EB2D">
    <w:pPr>
      <w:pStyle w:val="Footer"/>
    </w:pPr>
    <w:r>
      <w:tab/>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3</w:t>
    </w:r>
    <w:r>
      <w:rPr>
        <w:rStyle w:val="PageNumber"/>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F1092" w:rsidP="00B17B3B" w:rsidRDefault="00000000" w14:paraId="0ED101D5" w14:textId="57E05E34">
    <w:pPr>
      <w:pStyle w:val="Footer"/>
    </w:pPr>
    <w:r>
      <w:fldChar w:fldCharType="begin"/>
    </w:r>
    <w:r>
      <w:instrText> DOCPROPERTY "Document Number" </w:instrText>
    </w:r>
    <w:r>
      <w:fldChar w:fldCharType="separate"/>
    </w:r>
    <w:r w:rsidR="000C0C99">
      <w:t>A50113954</w:t>
    </w:r>
    <w:r>
      <w:fldChar w:fldCharType="end"/>
    </w:r>
    <w:r w:rsidR="006F1092">
      <w:t>/</w:t>
    </w:r>
    <w:r>
      <w:fldChar w:fldCharType="begin"/>
    </w:r>
    <w:r>
      <w:instrText> DOCPROPERTY "Version" </w:instrText>
    </w:r>
    <w:r>
      <w:fldChar w:fldCharType="separate"/>
    </w:r>
    <w:r w:rsidR="000C0C99">
      <w:t>0.22</w:t>
    </w:r>
    <w:r>
      <w:fldChar w:fldCharType="end"/>
    </w:r>
    <w:r w:rsidR="006F1092">
      <w:t>/</w:t>
    </w:r>
    <w:r>
      <w:fldChar w:fldCharType="begin"/>
    </w:r>
    <w:r>
      <w:instrText> DOCPROPERTY "Last Modified" </w:instrText>
    </w:r>
    <w:r>
      <w:fldChar w:fldCharType="separate"/>
    </w:r>
    <w:r w:rsidR="000C0C99">
      <w:t>06 Mar 2023</w:t>
    </w:r>
    <w:r>
      <w:fldChar w:fldCharType="end"/>
    </w:r>
    <w:r w:rsidR="006F1092">
      <w:tab/>
    </w:r>
    <w:r w:rsidR="006F1092">
      <w:rPr>
        <w:rStyle w:val="PageNumber"/>
        <w:sz w:val="20"/>
      </w:rPr>
      <w:fldChar w:fldCharType="begin"/>
    </w:r>
    <w:r w:rsidR="006F1092">
      <w:rPr>
        <w:rStyle w:val="PageNumber"/>
        <w:sz w:val="20"/>
      </w:rPr>
      <w:instrText xml:space="preserve"> PAGE </w:instrText>
    </w:r>
    <w:r w:rsidR="006F1092">
      <w:rPr>
        <w:rStyle w:val="PageNumber"/>
        <w:sz w:val="20"/>
      </w:rPr>
      <w:fldChar w:fldCharType="separate"/>
    </w:r>
    <w:r w:rsidR="006F1092">
      <w:rPr>
        <w:rStyle w:val="PageNumber"/>
        <w:noProof/>
        <w:sz w:val="20"/>
      </w:rPr>
      <w:t>2</w:t>
    </w:r>
    <w:r w:rsidR="006F1092">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C08CB" w:rsidP="006F1092" w:rsidRDefault="005C08CB" w14:paraId="0786CAB9" w14:textId="77777777">
      <w:pPr>
        <w:spacing w:after="0" w:line="240" w:lineRule="auto"/>
      </w:pPr>
      <w:r>
        <w:separator/>
      </w:r>
    </w:p>
  </w:footnote>
  <w:footnote w:type="continuationSeparator" w:id="0">
    <w:p w:rsidR="005C08CB" w:rsidP="006F1092" w:rsidRDefault="005C08CB" w14:paraId="1B591B4D" w14:textId="77777777">
      <w:pPr>
        <w:spacing w:after="0" w:line="240" w:lineRule="auto"/>
      </w:pPr>
      <w:r>
        <w:continuationSeparator/>
      </w:r>
    </w:p>
  </w:footnote>
  <w:footnote w:type="continuationNotice" w:id="1">
    <w:p w:rsidR="005C08CB" w:rsidRDefault="005C08CB" w14:paraId="73246658"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A6688" w:rsidRDefault="00BA6688" w14:paraId="0333E835"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A6688" w:rsidRDefault="00BA6688" w14:paraId="70686F5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D5FC7" w:rsidR="006E7D6F" w:rsidRDefault="006E7D6F" w14:paraId="276F8543" w14:textId="7C5813FB">
    <w:pPr>
      <w:pStyle w:val="Header"/>
      <w:rPr>
        <w:b/>
        <w:bC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D5FC7" w:rsidR="006E7D6F" w:rsidRDefault="006E7D6F" w14:paraId="4B35BB9E" w14:textId="676B7D34">
    <w:pPr>
      <w:pStyle w:val="Header"/>
      <w:rPr>
        <w:b/>
        <w:bC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D5FC7" w:rsidR="00E81C50" w:rsidRDefault="00E81C50" w14:paraId="580A42B6" w14:textId="1CAE1743">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61BB9"/>
    <w:multiLevelType w:val="singleLevel"/>
    <w:tmpl w:val="AD24A92E"/>
    <w:lvl w:ilvl="0">
      <w:start w:val="1"/>
      <w:numFmt w:val="decimal"/>
      <w:pStyle w:val="SmCellNumber"/>
      <w:lvlText w:val="%1"/>
      <w:lvlJc w:val="left"/>
      <w:pPr>
        <w:tabs>
          <w:tab w:val="num" w:pos="425"/>
        </w:tabs>
        <w:ind w:left="425" w:hanging="425"/>
      </w:pPr>
    </w:lvl>
  </w:abstractNum>
  <w:abstractNum w:abstractNumId="1" w15:restartNumberingAfterBreak="0">
    <w:nsid w:val="018A3407"/>
    <w:multiLevelType w:val="multilevel"/>
    <w:tmpl w:val="55B8D82C"/>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 w15:restartNumberingAfterBreak="0">
    <w:nsid w:val="039D5640"/>
    <w:multiLevelType w:val="hybridMultilevel"/>
    <w:tmpl w:val="38D6FD94"/>
    <w:lvl w:ilvl="0" w:tplc="ADC878F0">
      <w:start w:val="1"/>
      <w:numFmt w:val="upperLetter"/>
      <w:pStyle w:val="Alpha3-Aitalic"/>
      <w:lvlText w:val="(%1)"/>
      <w:lvlJc w:val="left"/>
      <w:pPr>
        <w:tabs>
          <w:tab w:val="num" w:pos="1559"/>
        </w:tabs>
        <w:ind w:left="1559" w:hanging="567"/>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667DCF"/>
    <w:multiLevelType w:val="singleLevel"/>
    <w:tmpl w:val="ABB6E0E2"/>
    <w:lvl w:ilvl="0">
      <w:start w:val="1"/>
      <w:numFmt w:val="decimal"/>
      <w:pStyle w:val="VSmCellNumber"/>
      <w:lvlText w:val="%1"/>
      <w:lvlJc w:val="left"/>
      <w:pPr>
        <w:tabs>
          <w:tab w:val="num" w:pos="425"/>
        </w:tabs>
        <w:ind w:left="425" w:hanging="425"/>
      </w:pPr>
    </w:lvl>
  </w:abstractNum>
  <w:abstractNum w:abstractNumId="4" w15:restartNumberingAfterBreak="0">
    <w:nsid w:val="04C94037"/>
    <w:multiLevelType w:val="multilevel"/>
    <w:tmpl w:val="61E4DA6C"/>
    <w:lvl w:ilvl="0">
      <w:start w:val="1"/>
      <w:numFmt w:val="lowerRoman"/>
      <w:pStyle w:val="Roman2-i"/>
      <w:lvlText w:val="(%1)"/>
      <w:lvlJc w:val="left"/>
      <w:pPr>
        <w:tabs>
          <w:tab w:val="num" w:pos="992"/>
        </w:tabs>
        <w:ind w:left="992" w:hanging="56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051076B7"/>
    <w:multiLevelType w:val="hybridMultilevel"/>
    <w:tmpl w:val="466AB0A8"/>
    <w:lvl w:ilvl="0" w:tplc="54C68D74">
      <w:start w:val="1"/>
      <w:numFmt w:val="decimal"/>
      <w:pStyle w:val="Arabic2-1"/>
      <w:lvlText w:val="%1."/>
      <w:lvlJc w:val="left"/>
      <w:pPr>
        <w:tabs>
          <w:tab w:val="num" w:pos="992"/>
        </w:tabs>
        <w:ind w:left="992"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61A3148"/>
    <w:multiLevelType w:val="multilevel"/>
    <w:tmpl w:val="D5B65C7A"/>
    <w:lvl w:ilvl="0">
      <w:start w:val="1"/>
      <w:numFmt w:val="bullet"/>
      <w:pStyle w:val="bullet6"/>
      <w:lvlText w:val=""/>
      <w:lvlJc w:val="left"/>
      <w:pPr>
        <w:tabs>
          <w:tab w:val="num" w:pos="3260"/>
        </w:tabs>
        <w:ind w:left="3260" w:hanging="567"/>
      </w:pPr>
      <w:rPr>
        <w:rFonts w:hint="default" w:ascii="Symbol" w:hAnsi="Symbol"/>
        <w:b/>
        <w:i w:val="0"/>
        <w:sz w:val="20"/>
      </w:rPr>
    </w:lvl>
    <w:lvl w:ilvl="1">
      <w:start w:val="1"/>
      <w:numFmt w:val="bullet"/>
      <w:lvlText w:val=""/>
      <w:lvlJc w:val="left"/>
      <w:pPr>
        <w:tabs>
          <w:tab w:val="num" w:pos="3685"/>
        </w:tabs>
        <w:ind w:left="3685" w:hanging="567"/>
      </w:pPr>
      <w:rPr>
        <w:rFonts w:hint="default" w:ascii="Symbol" w:hAnsi="Symbol"/>
        <w:sz w:val="20"/>
      </w:rPr>
    </w:lvl>
    <w:lvl w:ilvl="2">
      <w:start w:val="1"/>
      <w:numFmt w:val="bullet"/>
      <w:lvlText w:val=""/>
      <w:lvlJc w:val="left"/>
      <w:pPr>
        <w:tabs>
          <w:tab w:val="num" w:pos="4252"/>
        </w:tabs>
        <w:ind w:left="4252" w:hanging="567"/>
      </w:pPr>
      <w:rPr>
        <w:rFonts w:hint="default" w:ascii="Symbol" w:hAnsi="Symbol"/>
        <w:sz w:val="17"/>
      </w:rPr>
    </w:lvl>
    <w:lvl w:ilvl="3">
      <w:start w:val="1"/>
      <w:numFmt w:val="bullet"/>
      <w:lvlText w:val=""/>
      <w:lvlJc w:val="left"/>
      <w:pPr>
        <w:tabs>
          <w:tab w:val="num" w:pos="4819"/>
        </w:tabs>
        <w:ind w:left="4819" w:hanging="567"/>
      </w:pPr>
      <w:rPr>
        <w:rFonts w:hint="default" w:ascii="Symbol" w:hAnsi="Symbol"/>
        <w:sz w:val="19"/>
      </w:rPr>
    </w:lvl>
    <w:lvl w:ilvl="4">
      <w:start w:val="1"/>
      <w:numFmt w:val="bullet"/>
      <w:lvlText w:val=""/>
      <w:lvlJc w:val="left"/>
      <w:pPr>
        <w:tabs>
          <w:tab w:val="num" w:pos="5386"/>
        </w:tabs>
        <w:ind w:left="5386" w:hanging="567"/>
      </w:pPr>
      <w:rPr>
        <w:rFonts w:hint="default" w:ascii="Symbol" w:hAnsi="Symbol"/>
        <w:sz w:val="19"/>
      </w:rPr>
    </w:lvl>
    <w:lvl w:ilvl="5">
      <w:start w:val="1"/>
      <w:numFmt w:val="upperLetter"/>
      <w:lvlText w:val="(%6)"/>
      <w:lvlJc w:val="left"/>
      <w:pPr>
        <w:tabs>
          <w:tab w:val="num" w:pos="5953"/>
        </w:tabs>
        <w:ind w:left="5953" w:hanging="567"/>
      </w:pPr>
      <w:rPr>
        <w:rFonts w:hint="default"/>
        <w:sz w:val="19"/>
      </w:rPr>
    </w:lvl>
    <w:lvl w:ilvl="6">
      <w:start w:val="1"/>
      <w:numFmt w:val="decimal"/>
      <w:lvlText w:val="%1.%2.%3.%4.%5.%6.%7"/>
      <w:lvlJc w:val="left"/>
      <w:pPr>
        <w:tabs>
          <w:tab w:val="num" w:pos="6520"/>
        </w:tabs>
        <w:ind w:left="6520" w:hanging="3827"/>
      </w:pPr>
      <w:rPr>
        <w:rFonts w:hint="default"/>
      </w:rPr>
    </w:lvl>
    <w:lvl w:ilvl="7">
      <w:start w:val="1"/>
      <w:numFmt w:val="decimal"/>
      <w:lvlText w:val="%1.%2.%3.%4.%5.%6.%7.%8"/>
      <w:lvlJc w:val="left"/>
      <w:pPr>
        <w:tabs>
          <w:tab w:val="num" w:pos="4133"/>
        </w:tabs>
        <w:ind w:left="4133" w:hanging="1440"/>
      </w:pPr>
      <w:rPr>
        <w:rFonts w:hint="default"/>
      </w:rPr>
    </w:lvl>
    <w:lvl w:ilvl="8">
      <w:start w:val="1"/>
      <w:numFmt w:val="decimal"/>
      <w:lvlText w:val="%1.%2.%3.%4.%5.%6.%7.%8.%9"/>
      <w:lvlJc w:val="left"/>
      <w:pPr>
        <w:tabs>
          <w:tab w:val="num" w:pos="4493"/>
        </w:tabs>
        <w:ind w:left="4277" w:hanging="1584"/>
      </w:pPr>
      <w:rPr>
        <w:rFonts w:hint="default"/>
      </w:rPr>
    </w:lvl>
  </w:abstractNum>
  <w:abstractNum w:abstractNumId="7" w15:restartNumberingAfterBreak="0">
    <w:nsid w:val="06BE5611"/>
    <w:multiLevelType w:val="hybridMultilevel"/>
    <w:tmpl w:val="2960B452"/>
    <w:lvl w:ilvl="0" w:tplc="AD201522">
      <w:start w:val="1"/>
      <w:numFmt w:val="lowerRoman"/>
      <w:pStyle w:val="Roman3-i"/>
      <w:lvlText w:val="(%1)"/>
      <w:lvlJc w:val="left"/>
      <w:pPr>
        <w:tabs>
          <w:tab w:val="num" w:pos="1559"/>
        </w:tabs>
        <w:ind w:left="1559"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06F21B9D"/>
    <w:multiLevelType w:val="hybridMultilevel"/>
    <w:tmpl w:val="2B12B6DA"/>
    <w:lvl w:ilvl="0" w:tplc="11346DDC">
      <w:start w:val="1"/>
      <w:numFmt w:val="decimal"/>
      <w:pStyle w:val="Arabic5-1"/>
      <w:lvlText w:val="%1."/>
      <w:lvlJc w:val="left"/>
      <w:pPr>
        <w:tabs>
          <w:tab w:val="num" w:pos="2693"/>
        </w:tabs>
        <w:ind w:left="2693"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7EE5F0B"/>
    <w:multiLevelType w:val="hybridMultilevel"/>
    <w:tmpl w:val="3A483FCA"/>
    <w:lvl w:ilvl="0" w:tplc="79C28C1A">
      <w:start w:val="1"/>
      <w:numFmt w:val="lowerLetter"/>
      <w:pStyle w:val="TableAlpha"/>
      <w:lvlText w:val="(%1)"/>
      <w:lvlJc w:val="left"/>
      <w:pPr>
        <w:tabs>
          <w:tab w:val="num" w:pos="425"/>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A7A161E"/>
    <w:multiLevelType w:val="hybridMultilevel"/>
    <w:tmpl w:val="B750E5BC"/>
    <w:lvl w:ilvl="0" w:tplc="1CD467E2">
      <w:start w:val="1"/>
      <w:numFmt w:val="upperLetter"/>
      <w:pStyle w:val="Alpha5-A"/>
      <w:lvlText w:val="(%1)"/>
      <w:lvlJc w:val="left"/>
      <w:pPr>
        <w:tabs>
          <w:tab w:val="num" w:pos="2693"/>
        </w:tabs>
        <w:ind w:left="2693"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AFE6D9F"/>
    <w:multiLevelType w:val="hybridMultilevel"/>
    <w:tmpl w:val="A5A6668C"/>
    <w:lvl w:ilvl="0" w:tplc="9010552A">
      <w:start w:val="1"/>
      <w:numFmt w:val="lowerLetter"/>
      <w:pStyle w:val="Alpha5-a0"/>
      <w:lvlText w:val="(%1)"/>
      <w:lvlJc w:val="left"/>
      <w:pPr>
        <w:tabs>
          <w:tab w:val="num" w:pos="2693"/>
        </w:tabs>
        <w:ind w:left="2693"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C177F5A"/>
    <w:multiLevelType w:val="hybridMultilevel"/>
    <w:tmpl w:val="CE4CD726"/>
    <w:lvl w:ilvl="0" w:tplc="3DD810D4">
      <w:start w:val="1"/>
      <w:numFmt w:val="upperLetter"/>
      <w:pStyle w:val="Alpha5-Aitalic"/>
      <w:lvlText w:val="(%1)"/>
      <w:lvlJc w:val="left"/>
      <w:pPr>
        <w:tabs>
          <w:tab w:val="num" w:pos="2693"/>
        </w:tabs>
        <w:ind w:left="2693" w:hanging="567"/>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CBF1B4C"/>
    <w:multiLevelType w:val="singleLevel"/>
    <w:tmpl w:val="DF9AC7CE"/>
    <w:lvl w:ilvl="0">
      <w:start w:val="1"/>
      <w:numFmt w:val="upperRoman"/>
      <w:pStyle w:val="Roman2-I0"/>
      <w:lvlText w:val="%1"/>
      <w:lvlJc w:val="left"/>
      <w:pPr>
        <w:tabs>
          <w:tab w:val="num" w:pos="992"/>
        </w:tabs>
        <w:ind w:left="992" w:hanging="567"/>
      </w:pPr>
      <w:rPr>
        <w:rFonts w:hint="default"/>
      </w:rPr>
    </w:lvl>
  </w:abstractNum>
  <w:abstractNum w:abstractNumId="14" w15:restartNumberingAfterBreak="0">
    <w:nsid w:val="10CC09DF"/>
    <w:multiLevelType w:val="hybridMultilevel"/>
    <w:tmpl w:val="B3BA89CC"/>
    <w:lvl w:ilvl="0" w:tplc="3C747E9C">
      <w:start w:val="1"/>
      <w:numFmt w:val="upperRoman"/>
      <w:pStyle w:val="Roman6-I"/>
      <w:lvlText w:val="(%1)"/>
      <w:lvlJc w:val="left"/>
      <w:pPr>
        <w:tabs>
          <w:tab w:val="num" w:pos="3260"/>
        </w:tabs>
        <w:ind w:left="3260"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148A18C7"/>
    <w:multiLevelType w:val="multilevel"/>
    <w:tmpl w:val="77580EE0"/>
    <w:lvl w:ilvl="0">
      <w:start w:val="1"/>
      <w:numFmt w:val="decimal"/>
      <w:pStyle w:val="Level1"/>
      <w:lvlText w:val="%1"/>
      <w:lvlJc w:val="left"/>
      <w:pPr>
        <w:tabs>
          <w:tab w:val="num" w:pos="425"/>
        </w:tabs>
        <w:ind w:left="425" w:hanging="425"/>
      </w:pPr>
      <w:rPr>
        <w:rFonts w:hint="default"/>
        <w:b/>
        <w:i w:val="0"/>
        <w:sz w:val="20"/>
        <w:szCs w:val="22"/>
      </w:rPr>
    </w:lvl>
    <w:lvl w:ilvl="1">
      <w:start w:val="1"/>
      <w:numFmt w:val="decimal"/>
      <w:pStyle w:val="Level2"/>
      <w:lvlText w:val="%1.%2"/>
      <w:lvlJc w:val="left"/>
      <w:pPr>
        <w:tabs>
          <w:tab w:val="num" w:pos="992"/>
        </w:tabs>
        <w:ind w:left="992" w:hanging="567"/>
      </w:pPr>
      <w:rPr>
        <w:rFonts w:hint="default"/>
        <w:sz w:val="20"/>
      </w:rPr>
    </w:lvl>
    <w:lvl w:ilvl="2">
      <w:start w:val="1"/>
      <w:numFmt w:val="decimal"/>
      <w:pStyle w:val="Level3"/>
      <w:lvlText w:val="%1.%2.%3"/>
      <w:lvlJc w:val="left"/>
      <w:pPr>
        <w:tabs>
          <w:tab w:val="num" w:pos="1559"/>
        </w:tabs>
        <w:ind w:left="1559" w:hanging="567"/>
      </w:pPr>
      <w:rPr>
        <w:rFonts w:hint="default"/>
        <w:sz w:val="17"/>
      </w:rPr>
    </w:lvl>
    <w:lvl w:ilvl="3">
      <w:start w:val="1"/>
      <w:numFmt w:val="lowerLetter"/>
      <w:pStyle w:val="Level4"/>
      <w:lvlText w:val="(%4)"/>
      <w:lvlJc w:val="left"/>
      <w:pPr>
        <w:tabs>
          <w:tab w:val="num" w:pos="2126"/>
        </w:tabs>
        <w:ind w:left="2126" w:hanging="567"/>
      </w:pPr>
      <w:rPr>
        <w:rFonts w:hint="default"/>
        <w:sz w:val="19"/>
      </w:rPr>
    </w:lvl>
    <w:lvl w:ilvl="4">
      <w:start w:val="1"/>
      <w:numFmt w:val="upperRoman"/>
      <w:pStyle w:val="Level5"/>
      <w:lvlText w:val="(%5)"/>
      <w:lvlJc w:val="left"/>
      <w:pPr>
        <w:tabs>
          <w:tab w:val="num" w:pos="2693"/>
        </w:tabs>
        <w:ind w:left="2693" w:hanging="567"/>
      </w:pPr>
      <w:rPr>
        <w:rFonts w:hint="default"/>
        <w:sz w:val="19"/>
      </w:rPr>
    </w:lvl>
    <w:lvl w:ilvl="5">
      <w:start w:val="1"/>
      <w:numFmt w:val="upperLetter"/>
      <w:pStyle w:val="Level6"/>
      <w:lvlText w:val="(%6)"/>
      <w:lvlJc w:val="left"/>
      <w:pPr>
        <w:tabs>
          <w:tab w:val="num" w:pos="3260"/>
        </w:tabs>
        <w:ind w:left="3260" w:hanging="567"/>
      </w:pPr>
      <w:rPr>
        <w:rFonts w:hint="default"/>
        <w:sz w:val="19"/>
      </w:rPr>
    </w:lvl>
    <w:lvl w:ilvl="6">
      <w:start w:val="1"/>
      <w:numFmt w:val="decimal"/>
      <w:lvlText w:val="%1.%2.%3.%4.%5.%6.%7"/>
      <w:lvlJc w:val="left"/>
      <w:pPr>
        <w:tabs>
          <w:tab w:val="num" w:pos="3827"/>
        </w:tabs>
        <w:ind w:left="3827" w:hanging="3827"/>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584" w:hanging="1584"/>
      </w:pPr>
      <w:rPr>
        <w:rFonts w:hint="default"/>
      </w:rPr>
    </w:lvl>
  </w:abstractNum>
  <w:abstractNum w:abstractNumId="16" w15:restartNumberingAfterBreak="0">
    <w:nsid w:val="15B45773"/>
    <w:multiLevelType w:val="multilevel"/>
    <w:tmpl w:val="5740BC78"/>
    <w:lvl w:ilvl="0">
      <w:start w:val="1"/>
      <w:numFmt w:val="bullet"/>
      <w:pStyle w:val="bullet5"/>
      <w:lvlText w:val=""/>
      <w:lvlJc w:val="left"/>
      <w:pPr>
        <w:tabs>
          <w:tab w:val="num" w:pos="2693"/>
        </w:tabs>
        <w:ind w:left="2693" w:hanging="567"/>
      </w:pPr>
      <w:rPr>
        <w:rFonts w:hint="default" w:ascii="Symbol" w:hAnsi="Symbol"/>
        <w:b/>
        <w:i w:val="0"/>
        <w:sz w:val="20"/>
      </w:rPr>
    </w:lvl>
    <w:lvl w:ilvl="1">
      <w:start w:val="1"/>
      <w:numFmt w:val="bullet"/>
      <w:lvlText w:val=""/>
      <w:lvlJc w:val="left"/>
      <w:pPr>
        <w:tabs>
          <w:tab w:val="num" w:pos="3118"/>
        </w:tabs>
        <w:ind w:left="3118" w:hanging="567"/>
      </w:pPr>
      <w:rPr>
        <w:rFonts w:hint="default" w:ascii="Symbol" w:hAnsi="Symbol"/>
        <w:sz w:val="20"/>
      </w:rPr>
    </w:lvl>
    <w:lvl w:ilvl="2">
      <w:start w:val="1"/>
      <w:numFmt w:val="bullet"/>
      <w:lvlText w:val=""/>
      <w:lvlJc w:val="left"/>
      <w:pPr>
        <w:tabs>
          <w:tab w:val="num" w:pos="3685"/>
        </w:tabs>
        <w:ind w:left="3685" w:hanging="567"/>
      </w:pPr>
      <w:rPr>
        <w:rFonts w:hint="default" w:ascii="Symbol" w:hAnsi="Symbol"/>
        <w:sz w:val="17"/>
      </w:rPr>
    </w:lvl>
    <w:lvl w:ilvl="3">
      <w:start w:val="1"/>
      <w:numFmt w:val="bullet"/>
      <w:lvlText w:val=""/>
      <w:lvlJc w:val="left"/>
      <w:pPr>
        <w:tabs>
          <w:tab w:val="num" w:pos="4252"/>
        </w:tabs>
        <w:ind w:left="4252" w:hanging="567"/>
      </w:pPr>
      <w:rPr>
        <w:rFonts w:hint="default" w:ascii="Symbol" w:hAnsi="Symbol"/>
        <w:sz w:val="19"/>
      </w:rPr>
    </w:lvl>
    <w:lvl w:ilvl="4">
      <w:start w:val="1"/>
      <w:numFmt w:val="bullet"/>
      <w:lvlText w:val=""/>
      <w:lvlJc w:val="left"/>
      <w:pPr>
        <w:tabs>
          <w:tab w:val="num" w:pos="4819"/>
        </w:tabs>
        <w:ind w:left="4819" w:hanging="567"/>
      </w:pPr>
      <w:rPr>
        <w:rFonts w:hint="default" w:ascii="Symbol" w:hAnsi="Symbol"/>
        <w:sz w:val="19"/>
      </w:rPr>
    </w:lvl>
    <w:lvl w:ilvl="5">
      <w:start w:val="1"/>
      <w:numFmt w:val="upperLetter"/>
      <w:lvlText w:val="(%6)"/>
      <w:lvlJc w:val="left"/>
      <w:pPr>
        <w:tabs>
          <w:tab w:val="num" w:pos="5386"/>
        </w:tabs>
        <w:ind w:left="5386" w:hanging="567"/>
      </w:pPr>
      <w:rPr>
        <w:rFonts w:hint="default"/>
        <w:sz w:val="19"/>
      </w:rPr>
    </w:lvl>
    <w:lvl w:ilvl="6">
      <w:start w:val="1"/>
      <w:numFmt w:val="decimal"/>
      <w:lvlText w:val="%1.%2.%3.%4.%5.%6.%7"/>
      <w:lvlJc w:val="left"/>
      <w:pPr>
        <w:tabs>
          <w:tab w:val="num" w:pos="5953"/>
        </w:tabs>
        <w:ind w:left="5953" w:hanging="3827"/>
      </w:pPr>
      <w:rPr>
        <w:rFonts w:hint="default"/>
      </w:rPr>
    </w:lvl>
    <w:lvl w:ilvl="7">
      <w:start w:val="1"/>
      <w:numFmt w:val="decimal"/>
      <w:lvlText w:val="%1.%2.%3.%4.%5.%6.%7.%8"/>
      <w:lvlJc w:val="left"/>
      <w:pPr>
        <w:tabs>
          <w:tab w:val="num" w:pos="3566"/>
        </w:tabs>
        <w:ind w:left="3566" w:hanging="1440"/>
      </w:pPr>
      <w:rPr>
        <w:rFonts w:hint="default"/>
      </w:rPr>
    </w:lvl>
    <w:lvl w:ilvl="8">
      <w:start w:val="1"/>
      <w:numFmt w:val="decimal"/>
      <w:lvlText w:val="%1.%2.%3.%4.%5.%6.%7.%8.%9"/>
      <w:lvlJc w:val="left"/>
      <w:pPr>
        <w:tabs>
          <w:tab w:val="num" w:pos="3926"/>
        </w:tabs>
        <w:ind w:left="3710" w:hanging="1584"/>
      </w:pPr>
      <w:rPr>
        <w:rFonts w:hint="default"/>
      </w:rPr>
    </w:lvl>
  </w:abstractNum>
  <w:abstractNum w:abstractNumId="17" w15:restartNumberingAfterBreak="0">
    <w:nsid w:val="1822010C"/>
    <w:multiLevelType w:val="hybridMultilevel"/>
    <w:tmpl w:val="AF74A5C6"/>
    <w:lvl w:ilvl="0" w:tplc="6194F23C">
      <w:start w:val="1"/>
      <w:numFmt w:val="upperRoman"/>
      <w:pStyle w:val="Roman5-I"/>
      <w:lvlText w:val="(%1)"/>
      <w:lvlJc w:val="left"/>
      <w:pPr>
        <w:tabs>
          <w:tab w:val="num" w:pos="2693"/>
        </w:tabs>
        <w:ind w:left="2693"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1B2A5100"/>
    <w:multiLevelType w:val="singleLevel"/>
    <w:tmpl w:val="37B4483E"/>
    <w:lvl w:ilvl="0">
      <w:start w:val="1"/>
      <w:numFmt w:val="lowerLetter"/>
      <w:pStyle w:val="Alpha2-abolditalic"/>
      <w:lvlText w:val="(%1)"/>
      <w:lvlJc w:val="left"/>
      <w:pPr>
        <w:tabs>
          <w:tab w:val="num" w:pos="992"/>
        </w:tabs>
        <w:ind w:left="992" w:hanging="567"/>
      </w:pPr>
      <w:rPr>
        <w:rFonts w:hint="default"/>
      </w:rPr>
    </w:lvl>
  </w:abstractNum>
  <w:abstractNum w:abstractNumId="19" w15:restartNumberingAfterBreak="0">
    <w:nsid w:val="1BF71723"/>
    <w:multiLevelType w:val="hybridMultilevel"/>
    <w:tmpl w:val="A73427BC"/>
    <w:lvl w:ilvl="0" w:tplc="0B20427E">
      <w:start w:val="1"/>
      <w:numFmt w:val="upperRoman"/>
      <w:pStyle w:val="Roman6-I0"/>
      <w:lvlText w:val="%1"/>
      <w:lvlJc w:val="left"/>
      <w:pPr>
        <w:tabs>
          <w:tab w:val="num" w:pos="2693"/>
        </w:tabs>
        <w:ind w:left="3260"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227F2D31"/>
    <w:multiLevelType w:val="singleLevel"/>
    <w:tmpl w:val="C4A46844"/>
    <w:lvl w:ilvl="0">
      <w:start w:val="1"/>
      <w:numFmt w:val="upperLetter"/>
      <w:pStyle w:val="Alpha1-Aitalic"/>
      <w:lvlText w:val="(%1)"/>
      <w:lvlJc w:val="left"/>
      <w:pPr>
        <w:tabs>
          <w:tab w:val="num" w:pos="425"/>
        </w:tabs>
        <w:ind w:left="425" w:hanging="425"/>
      </w:pPr>
      <w:rPr>
        <w:rFonts w:hint="default"/>
        <w:sz w:val="22"/>
      </w:rPr>
    </w:lvl>
  </w:abstractNum>
  <w:abstractNum w:abstractNumId="21" w15:restartNumberingAfterBreak="0">
    <w:nsid w:val="23745916"/>
    <w:multiLevelType w:val="singleLevel"/>
    <w:tmpl w:val="1CB4A816"/>
    <w:lvl w:ilvl="0">
      <w:start w:val="1"/>
      <w:numFmt w:val="decimal"/>
      <w:pStyle w:val="Arabic3-1"/>
      <w:lvlText w:val="(%1)"/>
      <w:lvlJc w:val="left"/>
      <w:pPr>
        <w:tabs>
          <w:tab w:val="num" w:pos="1559"/>
        </w:tabs>
        <w:ind w:left="1559" w:hanging="567"/>
      </w:pPr>
      <w:rPr>
        <w:rFonts w:hint="default"/>
      </w:rPr>
    </w:lvl>
  </w:abstractNum>
  <w:abstractNum w:abstractNumId="22" w15:restartNumberingAfterBreak="0">
    <w:nsid w:val="26151EF8"/>
    <w:multiLevelType w:val="singleLevel"/>
    <w:tmpl w:val="50E49316"/>
    <w:lvl w:ilvl="0">
      <w:start w:val="1"/>
      <w:numFmt w:val="lowerLetter"/>
      <w:pStyle w:val="Alpha2-abold"/>
      <w:lvlText w:val="(%1)"/>
      <w:lvlJc w:val="left"/>
      <w:pPr>
        <w:tabs>
          <w:tab w:val="num" w:pos="992"/>
        </w:tabs>
        <w:ind w:left="992" w:hanging="567"/>
      </w:pPr>
      <w:rPr>
        <w:rFonts w:hint="default"/>
      </w:rPr>
    </w:lvl>
  </w:abstractNum>
  <w:abstractNum w:abstractNumId="23" w15:restartNumberingAfterBreak="0">
    <w:nsid w:val="263D3B13"/>
    <w:multiLevelType w:val="hybridMultilevel"/>
    <w:tmpl w:val="F15A9424"/>
    <w:lvl w:ilvl="0" w:tplc="8B0CD4B2">
      <w:start w:val="1"/>
      <w:numFmt w:val="decimal"/>
      <w:pStyle w:val="Arabic6-1"/>
      <w:lvlText w:val="%1."/>
      <w:lvlJc w:val="left"/>
      <w:pPr>
        <w:tabs>
          <w:tab w:val="num" w:pos="3260"/>
        </w:tabs>
        <w:ind w:left="3260"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8545890"/>
    <w:multiLevelType w:val="hybridMultilevel"/>
    <w:tmpl w:val="AACCEBA0"/>
    <w:lvl w:ilvl="0" w:tplc="FE2C952E">
      <w:start w:val="1"/>
      <w:numFmt w:val="upperLetter"/>
      <w:pStyle w:val="Alpha3-Abold"/>
      <w:lvlText w:val="(%1)"/>
      <w:lvlJc w:val="left"/>
      <w:pPr>
        <w:tabs>
          <w:tab w:val="num" w:pos="1559"/>
        </w:tabs>
        <w:ind w:left="1559" w:hanging="567"/>
      </w:pPr>
      <w:rPr>
        <w:rFonts w:hint="default"/>
      </w:rPr>
    </w:lvl>
    <w:lvl w:ilvl="1" w:tplc="04090019" w:tentative="1">
      <w:start w:val="1"/>
      <w:numFmt w:val="lowerLetter"/>
      <w:lvlText w:val="%2."/>
      <w:lvlJc w:val="left"/>
      <w:pPr>
        <w:tabs>
          <w:tab w:val="num" w:pos="2432"/>
        </w:tabs>
        <w:ind w:left="2432" w:hanging="360"/>
      </w:pPr>
    </w:lvl>
    <w:lvl w:ilvl="2" w:tplc="0409001B" w:tentative="1">
      <w:start w:val="1"/>
      <w:numFmt w:val="lowerRoman"/>
      <w:lvlText w:val="%3."/>
      <w:lvlJc w:val="right"/>
      <w:pPr>
        <w:tabs>
          <w:tab w:val="num" w:pos="3152"/>
        </w:tabs>
        <w:ind w:left="3152" w:hanging="180"/>
      </w:pPr>
    </w:lvl>
    <w:lvl w:ilvl="3" w:tplc="0409000F" w:tentative="1">
      <w:start w:val="1"/>
      <w:numFmt w:val="decimal"/>
      <w:lvlText w:val="%4."/>
      <w:lvlJc w:val="left"/>
      <w:pPr>
        <w:tabs>
          <w:tab w:val="num" w:pos="3872"/>
        </w:tabs>
        <w:ind w:left="3872" w:hanging="360"/>
      </w:pPr>
    </w:lvl>
    <w:lvl w:ilvl="4" w:tplc="04090019" w:tentative="1">
      <w:start w:val="1"/>
      <w:numFmt w:val="lowerLetter"/>
      <w:lvlText w:val="%5."/>
      <w:lvlJc w:val="left"/>
      <w:pPr>
        <w:tabs>
          <w:tab w:val="num" w:pos="4592"/>
        </w:tabs>
        <w:ind w:left="4592" w:hanging="360"/>
      </w:pPr>
    </w:lvl>
    <w:lvl w:ilvl="5" w:tplc="0409001B" w:tentative="1">
      <w:start w:val="1"/>
      <w:numFmt w:val="lowerRoman"/>
      <w:lvlText w:val="%6."/>
      <w:lvlJc w:val="right"/>
      <w:pPr>
        <w:tabs>
          <w:tab w:val="num" w:pos="5312"/>
        </w:tabs>
        <w:ind w:left="5312" w:hanging="180"/>
      </w:pPr>
    </w:lvl>
    <w:lvl w:ilvl="6" w:tplc="0409000F" w:tentative="1">
      <w:start w:val="1"/>
      <w:numFmt w:val="decimal"/>
      <w:lvlText w:val="%7."/>
      <w:lvlJc w:val="left"/>
      <w:pPr>
        <w:tabs>
          <w:tab w:val="num" w:pos="6032"/>
        </w:tabs>
        <w:ind w:left="6032" w:hanging="360"/>
      </w:pPr>
    </w:lvl>
    <w:lvl w:ilvl="7" w:tplc="04090019" w:tentative="1">
      <w:start w:val="1"/>
      <w:numFmt w:val="lowerLetter"/>
      <w:lvlText w:val="%8."/>
      <w:lvlJc w:val="left"/>
      <w:pPr>
        <w:tabs>
          <w:tab w:val="num" w:pos="6752"/>
        </w:tabs>
        <w:ind w:left="6752" w:hanging="360"/>
      </w:pPr>
    </w:lvl>
    <w:lvl w:ilvl="8" w:tplc="0409001B" w:tentative="1">
      <w:start w:val="1"/>
      <w:numFmt w:val="lowerRoman"/>
      <w:lvlText w:val="%9."/>
      <w:lvlJc w:val="right"/>
      <w:pPr>
        <w:tabs>
          <w:tab w:val="num" w:pos="7472"/>
        </w:tabs>
        <w:ind w:left="7472" w:hanging="180"/>
      </w:pPr>
    </w:lvl>
  </w:abstractNum>
  <w:abstractNum w:abstractNumId="25" w15:restartNumberingAfterBreak="0">
    <w:nsid w:val="28ED50AE"/>
    <w:multiLevelType w:val="hybridMultilevel"/>
    <w:tmpl w:val="CCB4A3DC"/>
    <w:lvl w:ilvl="0" w:tplc="85FA26E4">
      <w:start w:val="1"/>
      <w:numFmt w:val="lowerRoman"/>
      <w:pStyle w:val="Roman5-i0"/>
      <w:lvlText w:val="(%1)"/>
      <w:lvlJc w:val="left"/>
      <w:pPr>
        <w:tabs>
          <w:tab w:val="num" w:pos="2693"/>
        </w:tabs>
        <w:ind w:left="2693"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2BF63519"/>
    <w:multiLevelType w:val="multilevel"/>
    <w:tmpl w:val="CB228756"/>
    <w:lvl w:ilvl="0">
      <w:start w:val="1"/>
      <w:numFmt w:val="lowerRoman"/>
      <w:lvlText w:val="(%1)"/>
      <w:lvlJc w:val="left"/>
      <w:pPr>
        <w:tabs>
          <w:tab w:val="num" w:pos="1559"/>
        </w:tabs>
        <w:ind w:left="1559" w:hanging="567"/>
      </w:pPr>
      <w:rPr>
        <w:rFonts w:hint="default" w:ascii="Arial" w:hAnsi="Arial"/>
        <w:b w:val="0"/>
        <w:i w:val="0"/>
        <w:sz w:val="20"/>
      </w:rPr>
    </w:lvl>
    <w:lvl w:ilvl="1">
      <w:start w:val="1"/>
      <w:numFmt w:val="lowerRoman"/>
      <w:lvlText w:val="(%2)"/>
      <w:lvlJc w:val="left"/>
      <w:pPr>
        <w:tabs>
          <w:tab w:val="num" w:pos="3584"/>
        </w:tabs>
        <w:ind w:left="3584" w:hanging="432"/>
      </w:pPr>
      <w:rPr>
        <w:rFonts w:hint="default"/>
      </w:rPr>
    </w:lvl>
    <w:lvl w:ilvl="2">
      <w:start w:val="1"/>
      <w:numFmt w:val="upperRoman"/>
      <w:pStyle w:val="3Level-Iblock"/>
      <w:lvlText w:val="(%3)"/>
      <w:lvlJc w:val="left"/>
      <w:pPr>
        <w:tabs>
          <w:tab w:val="num" w:pos="2288"/>
        </w:tabs>
        <w:ind w:left="2288" w:hanging="432"/>
      </w:pPr>
      <w:rPr>
        <w:rFonts w:hint="default"/>
      </w:rPr>
    </w:lvl>
    <w:lvl w:ilvl="3">
      <w:start w:val="1"/>
      <w:numFmt w:val="lowerRoman"/>
      <w:lvlText w:val="(%4)"/>
      <w:lvlJc w:val="left"/>
      <w:pPr>
        <w:tabs>
          <w:tab w:val="num" w:pos="3584"/>
        </w:tabs>
        <w:ind w:left="3584" w:hanging="432"/>
      </w:pPr>
      <w:rPr>
        <w:rFonts w:hint="default"/>
      </w:rPr>
    </w:lvl>
    <w:lvl w:ilvl="4">
      <w:start w:val="1"/>
      <w:numFmt w:val="lowerRoman"/>
      <w:lvlText w:val="(%5)"/>
      <w:lvlJc w:val="left"/>
      <w:pPr>
        <w:tabs>
          <w:tab w:val="num" w:pos="3584"/>
        </w:tabs>
        <w:ind w:left="3584" w:hanging="432"/>
      </w:pPr>
      <w:rPr>
        <w:rFonts w:hint="default"/>
      </w:rPr>
    </w:lvl>
    <w:lvl w:ilvl="5">
      <w:start w:val="1"/>
      <w:numFmt w:val="lowerRoman"/>
      <w:lvlText w:val="(%6)"/>
      <w:lvlJc w:val="left"/>
      <w:pPr>
        <w:tabs>
          <w:tab w:val="num" w:pos="5312"/>
        </w:tabs>
        <w:ind w:left="5312" w:hanging="360"/>
      </w:pPr>
      <w:rPr>
        <w:rFonts w:hint="default"/>
      </w:rPr>
    </w:lvl>
    <w:lvl w:ilvl="6">
      <w:start w:val="1"/>
      <w:numFmt w:val="decimal"/>
      <w:lvlText w:val="%7."/>
      <w:lvlJc w:val="left"/>
      <w:pPr>
        <w:tabs>
          <w:tab w:val="num" w:pos="5672"/>
        </w:tabs>
        <w:ind w:left="5672" w:hanging="360"/>
      </w:pPr>
      <w:rPr>
        <w:rFonts w:hint="default"/>
      </w:rPr>
    </w:lvl>
    <w:lvl w:ilvl="7">
      <w:start w:val="1"/>
      <w:numFmt w:val="lowerLetter"/>
      <w:lvlText w:val="%8."/>
      <w:lvlJc w:val="left"/>
      <w:pPr>
        <w:tabs>
          <w:tab w:val="num" w:pos="6032"/>
        </w:tabs>
        <w:ind w:left="6032" w:hanging="360"/>
      </w:pPr>
      <w:rPr>
        <w:rFonts w:hint="default"/>
      </w:rPr>
    </w:lvl>
    <w:lvl w:ilvl="8">
      <w:start w:val="1"/>
      <w:numFmt w:val="lowerRoman"/>
      <w:lvlText w:val="%9."/>
      <w:lvlJc w:val="left"/>
      <w:pPr>
        <w:tabs>
          <w:tab w:val="num" w:pos="6392"/>
        </w:tabs>
        <w:ind w:left="6392" w:hanging="360"/>
      </w:pPr>
      <w:rPr>
        <w:rFonts w:hint="default"/>
      </w:rPr>
    </w:lvl>
  </w:abstractNum>
  <w:abstractNum w:abstractNumId="27" w15:restartNumberingAfterBreak="0">
    <w:nsid w:val="2CC83560"/>
    <w:multiLevelType w:val="hybridMultilevel"/>
    <w:tmpl w:val="909C5CA2"/>
    <w:lvl w:ilvl="0" w:tplc="3B98C68C">
      <w:start w:val="1"/>
      <w:numFmt w:val="lowerLetter"/>
      <w:pStyle w:val="Alpha3-a"/>
      <w:lvlText w:val="(%1)"/>
      <w:lvlJc w:val="left"/>
      <w:pPr>
        <w:tabs>
          <w:tab w:val="num" w:pos="1559"/>
        </w:tabs>
        <w:ind w:left="1559"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2E2917BE"/>
    <w:multiLevelType w:val="singleLevel"/>
    <w:tmpl w:val="65FCF584"/>
    <w:lvl w:ilvl="0">
      <w:start w:val="1"/>
      <w:numFmt w:val="upperLetter"/>
      <w:pStyle w:val="Alpha2-A"/>
      <w:lvlText w:val="(%1)"/>
      <w:lvlJc w:val="left"/>
      <w:pPr>
        <w:tabs>
          <w:tab w:val="num" w:pos="992"/>
        </w:tabs>
        <w:ind w:left="992" w:hanging="567"/>
      </w:pPr>
      <w:rPr>
        <w:rFonts w:hint="default"/>
      </w:rPr>
    </w:lvl>
  </w:abstractNum>
  <w:abstractNum w:abstractNumId="29" w15:restartNumberingAfterBreak="0">
    <w:nsid w:val="30AF581B"/>
    <w:multiLevelType w:val="hybridMultilevel"/>
    <w:tmpl w:val="AEB0081A"/>
    <w:lvl w:ilvl="0" w:tplc="C4C0AD1A">
      <w:start w:val="1"/>
      <w:numFmt w:val="upperRoman"/>
      <w:pStyle w:val="Roman3-I0"/>
      <w:lvlText w:val="%1"/>
      <w:lvlJc w:val="left"/>
      <w:pPr>
        <w:tabs>
          <w:tab w:val="num" w:pos="1559"/>
        </w:tabs>
        <w:ind w:left="1559"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30D34226"/>
    <w:multiLevelType w:val="hybridMultilevel"/>
    <w:tmpl w:val="C5D061AC"/>
    <w:lvl w:ilvl="0" w:tplc="5BF8BC32">
      <w:start w:val="1"/>
      <w:numFmt w:val="bullet"/>
      <w:pStyle w:val="TableBullet"/>
      <w:lvlText w:val=""/>
      <w:lvlJc w:val="left"/>
      <w:pPr>
        <w:tabs>
          <w:tab w:val="num" w:pos="425"/>
        </w:tabs>
        <w:ind w:left="425" w:hanging="425"/>
      </w:pPr>
      <w:rPr>
        <w:rFonts w:hint="default" w:ascii="Symbol" w:hAnsi="Symbol"/>
        <w:sz w:val="21"/>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1" w15:restartNumberingAfterBreak="0">
    <w:nsid w:val="33BF6B96"/>
    <w:multiLevelType w:val="hybridMultilevel"/>
    <w:tmpl w:val="518029CA"/>
    <w:lvl w:ilvl="0" w:tplc="617EA79A">
      <w:start w:val="1"/>
      <w:numFmt w:val="lowerLetter"/>
      <w:pStyle w:val="Alpha2-aitalic"/>
      <w:lvlText w:val="(%1)"/>
      <w:lvlJc w:val="left"/>
      <w:pPr>
        <w:tabs>
          <w:tab w:val="num" w:pos="992"/>
        </w:tabs>
        <w:ind w:left="992" w:hanging="567"/>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35A07E80"/>
    <w:multiLevelType w:val="hybridMultilevel"/>
    <w:tmpl w:val="F79EEA0E"/>
    <w:lvl w:ilvl="0" w:tplc="E006DB1C">
      <w:start w:val="1"/>
      <w:numFmt w:val="lowerLetter"/>
      <w:lvlText w:val="(%1)"/>
      <w:lvlJc w:val="left"/>
      <w:pPr>
        <w:ind w:left="114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8A0099C"/>
    <w:multiLevelType w:val="hybridMultilevel"/>
    <w:tmpl w:val="BD529BA6"/>
    <w:lvl w:ilvl="0" w:tplc="08090001">
      <w:start w:val="1"/>
      <w:numFmt w:val="bullet"/>
      <w:lvlText w:val=""/>
      <w:lvlJc w:val="left"/>
      <w:pPr>
        <w:ind w:left="1145" w:hanging="360"/>
      </w:pPr>
      <w:rPr>
        <w:rFonts w:hint="default" w:ascii="Symbol" w:hAnsi="Symbol"/>
      </w:rPr>
    </w:lvl>
    <w:lvl w:ilvl="1" w:tplc="08090003" w:tentative="1">
      <w:start w:val="1"/>
      <w:numFmt w:val="bullet"/>
      <w:lvlText w:val="o"/>
      <w:lvlJc w:val="left"/>
      <w:pPr>
        <w:ind w:left="1865" w:hanging="360"/>
      </w:pPr>
      <w:rPr>
        <w:rFonts w:hint="default" w:ascii="Courier New" w:hAnsi="Courier New" w:cs="Courier New"/>
      </w:rPr>
    </w:lvl>
    <w:lvl w:ilvl="2" w:tplc="08090005" w:tentative="1">
      <w:start w:val="1"/>
      <w:numFmt w:val="bullet"/>
      <w:lvlText w:val=""/>
      <w:lvlJc w:val="left"/>
      <w:pPr>
        <w:ind w:left="2585" w:hanging="360"/>
      </w:pPr>
      <w:rPr>
        <w:rFonts w:hint="default" w:ascii="Wingdings" w:hAnsi="Wingdings"/>
      </w:rPr>
    </w:lvl>
    <w:lvl w:ilvl="3" w:tplc="08090001" w:tentative="1">
      <w:start w:val="1"/>
      <w:numFmt w:val="bullet"/>
      <w:lvlText w:val=""/>
      <w:lvlJc w:val="left"/>
      <w:pPr>
        <w:ind w:left="3305" w:hanging="360"/>
      </w:pPr>
      <w:rPr>
        <w:rFonts w:hint="default" w:ascii="Symbol" w:hAnsi="Symbol"/>
      </w:rPr>
    </w:lvl>
    <w:lvl w:ilvl="4" w:tplc="08090003" w:tentative="1">
      <w:start w:val="1"/>
      <w:numFmt w:val="bullet"/>
      <w:lvlText w:val="o"/>
      <w:lvlJc w:val="left"/>
      <w:pPr>
        <w:ind w:left="4025" w:hanging="360"/>
      </w:pPr>
      <w:rPr>
        <w:rFonts w:hint="default" w:ascii="Courier New" w:hAnsi="Courier New" w:cs="Courier New"/>
      </w:rPr>
    </w:lvl>
    <w:lvl w:ilvl="5" w:tplc="08090005" w:tentative="1">
      <w:start w:val="1"/>
      <w:numFmt w:val="bullet"/>
      <w:lvlText w:val=""/>
      <w:lvlJc w:val="left"/>
      <w:pPr>
        <w:ind w:left="4745" w:hanging="360"/>
      </w:pPr>
      <w:rPr>
        <w:rFonts w:hint="default" w:ascii="Wingdings" w:hAnsi="Wingdings"/>
      </w:rPr>
    </w:lvl>
    <w:lvl w:ilvl="6" w:tplc="08090001" w:tentative="1">
      <w:start w:val="1"/>
      <w:numFmt w:val="bullet"/>
      <w:lvlText w:val=""/>
      <w:lvlJc w:val="left"/>
      <w:pPr>
        <w:ind w:left="5465" w:hanging="360"/>
      </w:pPr>
      <w:rPr>
        <w:rFonts w:hint="default" w:ascii="Symbol" w:hAnsi="Symbol"/>
      </w:rPr>
    </w:lvl>
    <w:lvl w:ilvl="7" w:tplc="08090003" w:tentative="1">
      <w:start w:val="1"/>
      <w:numFmt w:val="bullet"/>
      <w:lvlText w:val="o"/>
      <w:lvlJc w:val="left"/>
      <w:pPr>
        <w:ind w:left="6185" w:hanging="360"/>
      </w:pPr>
      <w:rPr>
        <w:rFonts w:hint="default" w:ascii="Courier New" w:hAnsi="Courier New" w:cs="Courier New"/>
      </w:rPr>
    </w:lvl>
    <w:lvl w:ilvl="8" w:tplc="08090005" w:tentative="1">
      <w:start w:val="1"/>
      <w:numFmt w:val="bullet"/>
      <w:lvlText w:val=""/>
      <w:lvlJc w:val="left"/>
      <w:pPr>
        <w:ind w:left="6905" w:hanging="360"/>
      </w:pPr>
      <w:rPr>
        <w:rFonts w:hint="default" w:ascii="Wingdings" w:hAnsi="Wingdings"/>
      </w:rPr>
    </w:lvl>
  </w:abstractNum>
  <w:abstractNum w:abstractNumId="34" w15:restartNumberingAfterBreak="0">
    <w:nsid w:val="38A01AA1"/>
    <w:multiLevelType w:val="multilevel"/>
    <w:tmpl w:val="89B0B002"/>
    <w:lvl w:ilvl="0">
      <w:start w:val="1"/>
      <w:numFmt w:val="lowerRoman"/>
      <w:pStyle w:val="TableRoman"/>
      <w:lvlText w:val="(%1)"/>
      <w:lvlJc w:val="left"/>
      <w:pPr>
        <w:tabs>
          <w:tab w:val="num" w:pos="720"/>
        </w:tabs>
        <w:ind w:left="425" w:hanging="42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15:restartNumberingAfterBreak="0">
    <w:nsid w:val="39A65F3E"/>
    <w:multiLevelType w:val="hybridMultilevel"/>
    <w:tmpl w:val="267605D6"/>
    <w:lvl w:ilvl="0" w:tplc="78B68378">
      <w:start w:val="1"/>
      <w:numFmt w:val="upperRoman"/>
      <w:pStyle w:val="Roman3-I1"/>
      <w:lvlText w:val="(%1)"/>
      <w:lvlJc w:val="left"/>
      <w:pPr>
        <w:tabs>
          <w:tab w:val="num" w:pos="1559"/>
        </w:tabs>
        <w:ind w:left="1559"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3A5468C7"/>
    <w:multiLevelType w:val="hybridMultilevel"/>
    <w:tmpl w:val="41000300"/>
    <w:lvl w:ilvl="0" w:tplc="089481A0">
      <w:start w:val="1"/>
      <w:numFmt w:val="upperLetter"/>
      <w:pStyle w:val="Alpha2-Aitalic0"/>
      <w:lvlText w:val="(%1)"/>
      <w:lvlJc w:val="left"/>
      <w:pPr>
        <w:tabs>
          <w:tab w:val="num" w:pos="992"/>
        </w:tabs>
        <w:ind w:left="992" w:hanging="567"/>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B1606E9"/>
    <w:multiLevelType w:val="hybridMultilevel"/>
    <w:tmpl w:val="3B382C80"/>
    <w:lvl w:ilvl="0" w:tplc="D6D2E3D0">
      <w:start w:val="1"/>
      <w:numFmt w:val="decimal"/>
      <w:pStyle w:val="Arabic5-10"/>
      <w:lvlText w:val="(%1)"/>
      <w:lvlJc w:val="left"/>
      <w:pPr>
        <w:tabs>
          <w:tab w:val="num" w:pos="2693"/>
        </w:tabs>
        <w:ind w:left="2693"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3D19169C"/>
    <w:multiLevelType w:val="hybridMultilevel"/>
    <w:tmpl w:val="34089BE8"/>
    <w:lvl w:ilvl="0" w:tplc="74160094">
      <w:start w:val="1"/>
      <w:numFmt w:val="decimal"/>
      <w:pStyle w:val="Arabic4-1"/>
      <w:lvlText w:val="%1."/>
      <w:lvlJc w:val="left"/>
      <w:pPr>
        <w:tabs>
          <w:tab w:val="num" w:pos="2126"/>
        </w:tabs>
        <w:ind w:left="2126"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3E2A1603"/>
    <w:multiLevelType w:val="singleLevel"/>
    <w:tmpl w:val="1BC0003A"/>
    <w:lvl w:ilvl="0">
      <w:start w:val="1"/>
      <w:numFmt w:val="upperLetter"/>
      <w:pStyle w:val="Alpha2-Abold0"/>
      <w:lvlText w:val="(%1)"/>
      <w:lvlJc w:val="left"/>
      <w:pPr>
        <w:tabs>
          <w:tab w:val="num" w:pos="992"/>
        </w:tabs>
        <w:ind w:left="992" w:hanging="567"/>
      </w:pPr>
      <w:rPr>
        <w:rFonts w:hint="default"/>
      </w:rPr>
    </w:lvl>
  </w:abstractNum>
  <w:abstractNum w:abstractNumId="40" w15:restartNumberingAfterBreak="0">
    <w:nsid w:val="3F735D89"/>
    <w:multiLevelType w:val="hybridMultilevel"/>
    <w:tmpl w:val="CC1AADCE"/>
    <w:lvl w:ilvl="0" w:tplc="E006DB1C">
      <w:start w:val="1"/>
      <w:numFmt w:val="lowerLetter"/>
      <w:lvlText w:val="(%1)"/>
      <w:lvlJc w:val="left"/>
      <w:pPr>
        <w:ind w:left="114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2A6173E"/>
    <w:multiLevelType w:val="hybridMultilevel"/>
    <w:tmpl w:val="C17E9724"/>
    <w:lvl w:ilvl="0" w:tplc="E1EA765E">
      <w:start w:val="1"/>
      <w:numFmt w:val="upperRoman"/>
      <w:pStyle w:val="Roman4-I"/>
      <w:lvlText w:val="%1"/>
      <w:lvlJc w:val="left"/>
      <w:pPr>
        <w:tabs>
          <w:tab w:val="num" w:pos="2126"/>
        </w:tabs>
        <w:ind w:left="2126"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43B95F26"/>
    <w:multiLevelType w:val="singleLevel"/>
    <w:tmpl w:val="EDF08F36"/>
    <w:lvl w:ilvl="0">
      <w:start w:val="1"/>
      <w:numFmt w:val="upperLetter"/>
      <w:pStyle w:val="Alpha4-Abold"/>
      <w:lvlText w:val="(%1)"/>
      <w:lvlJc w:val="left"/>
      <w:pPr>
        <w:tabs>
          <w:tab w:val="num" w:pos="2126"/>
        </w:tabs>
        <w:ind w:left="2126" w:hanging="567"/>
      </w:pPr>
      <w:rPr>
        <w:rFonts w:hint="default"/>
      </w:rPr>
    </w:lvl>
  </w:abstractNum>
  <w:abstractNum w:abstractNumId="43" w15:restartNumberingAfterBreak="0">
    <w:nsid w:val="475B3203"/>
    <w:multiLevelType w:val="multilevel"/>
    <w:tmpl w:val="0EA4E5AE"/>
    <w:name w:val="AOGen32"/>
    <w:lvl w:ilvl="0">
      <w:start w:val="1"/>
      <w:numFmt w:val="none"/>
      <w:pStyle w:val="AODocTxt"/>
      <w:suff w:val="nothing"/>
      <w:lvlText w:val=""/>
      <w:lvlJc w:val="left"/>
      <w:pPr>
        <w:ind w:left="0" w:firstLine="0"/>
      </w:pPr>
    </w:lvl>
    <w:lvl w:ilvl="1">
      <w:start w:val="1"/>
      <w:numFmt w:val="none"/>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44" w15:restartNumberingAfterBreak="0">
    <w:nsid w:val="47B238E7"/>
    <w:multiLevelType w:val="multilevel"/>
    <w:tmpl w:val="B9F6B264"/>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5" w15:restartNumberingAfterBreak="0">
    <w:nsid w:val="47DA3A4C"/>
    <w:multiLevelType w:val="multilevel"/>
    <w:tmpl w:val="5B02BACC"/>
    <w:lvl w:ilvl="0">
      <w:start w:val="1"/>
      <w:numFmt w:val="lowerLetter"/>
      <w:pStyle w:val="Alpha2-a0"/>
      <w:lvlText w:val="(%1)"/>
      <w:lvlJc w:val="left"/>
      <w:pPr>
        <w:tabs>
          <w:tab w:val="num" w:pos="992"/>
        </w:tabs>
        <w:ind w:left="992" w:hanging="56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15:restartNumberingAfterBreak="0">
    <w:nsid w:val="4D4476FE"/>
    <w:multiLevelType w:val="hybridMultilevel"/>
    <w:tmpl w:val="4DA8AB02"/>
    <w:lvl w:ilvl="0" w:tplc="AED00ECE">
      <w:start w:val="1"/>
      <w:numFmt w:val="decimal"/>
      <w:pStyle w:val="Arabic2-10"/>
      <w:lvlText w:val="(%1)"/>
      <w:lvlJc w:val="left"/>
      <w:pPr>
        <w:tabs>
          <w:tab w:val="num" w:pos="992"/>
        </w:tabs>
        <w:ind w:left="992" w:hanging="567"/>
      </w:pPr>
      <w:rPr>
        <w:rFonts w:hint="default"/>
      </w:rPr>
    </w:lvl>
    <w:lvl w:ilvl="1" w:tplc="04090019" w:tentative="1">
      <w:start w:val="1"/>
      <w:numFmt w:val="lowerLetter"/>
      <w:lvlText w:val="%2."/>
      <w:lvlJc w:val="left"/>
      <w:pPr>
        <w:tabs>
          <w:tab w:val="num" w:pos="1865"/>
        </w:tabs>
        <w:ind w:left="1865" w:hanging="360"/>
      </w:pPr>
    </w:lvl>
    <w:lvl w:ilvl="2" w:tplc="0409001B" w:tentative="1">
      <w:start w:val="1"/>
      <w:numFmt w:val="lowerRoman"/>
      <w:lvlText w:val="%3."/>
      <w:lvlJc w:val="right"/>
      <w:pPr>
        <w:tabs>
          <w:tab w:val="num" w:pos="2585"/>
        </w:tabs>
        <w:ind w:left="2585" w:hanging="180"/>
      </w:pPr>
    </w:lvl>
    <w:lvl w:ilvl="3" w:tplc="0409000F" w:tentative="1">
      <w:start w:val="1"/>
      <w:numFmt w:val="decimal"/>
      <w:lvlText w:val="%4."/>
      <w:lvlJc w:val="left"/>
      <w:pPr>
        <w:tabs>
          <w:tab w:val="num" w:pos="3305"/>
        </w:tabs>
        <w:ind w:left="3305" w:hanging="360"/>
      </w:pPr>
    </w:lvl>
    <w:lvl w:ilvl="4" w:tplc="04090019" w:tentative="1">
      <w:start w:val="1"/>
      <w:numFmt w:val="lowerLetter"/>
      <w:lvlText w:val="%5."/>
      <w:lvlJc w:val="left"/>
      <w:pPr>
        <w:tabs>
          <w:tab w:val="num" w:pos="4025"/>
        </w:tabs>
        <w:ind w:left="4025" w:hanging="360"/>
      </w:pPr>
    </w:lvl>
    <w:lvl w:ilvl="5" w:tplc="0409001B" w:tentative="1">
      <w:start w:val="1"/>
      <w:numFmt w:val="lowerRoman"/>
      <w:lvlText w:val="%6."/>
      <w:lvlJc w:val="right"/>
      <w:pPr>
        <w:tabs>
          <w:tab w:val="num" w:pos="4745"/>
        </w:tabs>
        <w:ind w:left="4745" w:hanging="180"/>
      </w:pPr>
    </w:lvl>
    <w:lvl w:ilvl="6" w:tplc="0409000F" w:tentative="1">
      <w:start w:val="1"/>
      <w:numFmt w:val="decimal"/>
      <w:lvlText w:val="%7."/>
      <w:lvlJc w:val="left"/>
      <w:pPr>
        <w:tabs>
          <w:tab w:val="num" w:pos="5465"/>
        </w:tabs>
        <w:ind w:left="5465" w:hanging="360"/>
      </w:pPr>
    </w:lvl>
    <w:lvl w:ilvl="7" w:tplc="04090019" w:tentative="1">
      <w:start w:val="1"/>
      <w:numFmt w:val="lowerLetter"/>
      <w:lvlText w:val="%8."/>
      <w:lvlJc w:val="left"/>
      <w:pPr>
        <w:tabs>
          <w:tab w:val="num" w:pos="6185"/>
        </w:tabs>
        <w:ind w:left="6185" w:hanging="360"/>
      </w:pPr>
    </w:lvl>
    <w:lvl w:ilvl="8" w:tplc="0409001B" w:tentative="1">
      <w:start w:val="1"/>
      <w:numFmt w:val="lowerRoman"/>
      <w:lvlText w:val="%9."/>
      <w:lvlJc w:val="right"/>
      <w:pPr>
        <w:tabs>
          <w:tab w:val="num" w:pos="6905"/>
        </w:tabs>
        <w:ind w:left="6905" w:hanging="180"/>
      </w:pPr>
    </w:lvl>
  </w:abstractNum>
  <w:abstractNum w:abstractNumId="47" w15:restartNumberingAfterBreak="0">
    <w:nsid w:val="4FAC3619"/>
    <w:multiLevelType w:val="singleLevel"/>
    <w:tmpl w:val="1DB4C2AE"/>
    <w:lvl w:ilvl="0">
      <w:start w:val="1"/>
      <w:numFmt w:val="upperRoman"/>
      <w:pStyle w:val="Roman2-I1"/>
      <w:lvlText w:val="(%1)"/>
      <w:lvlJc w:val="left"/>
      <w:pPr>
        <w:tabs>
          <w:tab w:val="num" w:pos="992"/>
        </w:tabs>
        <w:ind w:left="992" w:hanging="567"/>
      </w:pPr>
      <w:rPr>
        <w:rFonts w:hint="default"/>
      </w:rPr>
    </w:lvl>
  </w:abstractNum>
  <w:abstractNum w:abstractNumId="48" w15:restartNumberingAfterBreak="0">
    <w:nsid w:val="50A22FDC"/>
    <w:multiLevelType w:val="multilevel"/>
    <w:tmpl w:val="599C2E58"/>
    <w:lvl w:ilvl="0">
      <w:start w:val="1"/>
      <w:numFmt w:val="bullet"/>
      <w:pStyle w:val="bullet4"/>
      <w:lvlText w:val=""/>
      <w:lvlJc w:val="left"/>
      <w:pPr>
        <w:tabs>
          <w:tab w:val="num" w:pos="2126"/>
        </w:tabs>
        <w:ind w:left="2126" w:hanging="567"/>
      </w:pPr>
      <w:rPr>
        <w:rFonts w:hint="default" w:ascii="Symbol" w:hAnsi="Symbol"/>
        <w:b/>
        <w:i w:val="0"/>
        <w:sz w:val="20"/>
      </w:rPr>
    </w:lvl>
    <w:lvl w:ilvl="1">
      <w:start w:val="1"/>
      <w:numFmt w:val="bullet"/>
      <w:lvlText w:val=""/>
      <w:lvlJc w:val="left"/>
      <w:pPr>
        <w:tabs>
          <w:tab w:val="num" w:pos="2551"/>
        </w:tabs>
        <w:ind w:left="2551" w:hanging="567"/>
      </w:pPr>
      <w:rPr>
        <w:rFonts w:hint="default" w:ascii="Symbol" w:hAnsi="Symbol"/>
        <w:sz w:val="20"/>
      </w:rPr>
    </w:lvl>
    <w:lvl w:ilvl="2">
      <w:start w:val="1"/>
      <w:numFmt w:val="bullet"/>
      <w:lvlText w:val=""/>
      <w:lvlJc w:val="left"/>
      <w:pPr>
        <w:tabs>
          <w:tab w:val="num" w:pos="3118"/>
        </w:tabs>
        <w:ind w:left="3118" w:hanging="567"/>
      </w:pPr>
      <w:rPr>
        <w:rFonts w:hint="default" w:ascii="Symbol" w:hAnsi="Symbol"/>
        <w:sz w:val="17"/>
      </w:rPr>
    </w:lvl>
    <w:lvl w:ilvl="3">
      <w:start w:val="1"/>
      <w:numFmt w:val="bullet"/>
      <w:lvlText w:val=""/>
      <w:lvlJc w:val="left"/>
      <w:pPr>
        <w:tabs>
          <w:tab w:val="num" w:pos="3685"/>
        </w:tabs>
        <w:ind w:left="3685" w:hanging="567"/>
      </w:pPr>
      <w:rPr>
        <w:rFonts w:hint="default" w:ascii="Symbol" w:hAnsi="Symbol"/>
        <w:sz w:val="19"/>
      </w:rPr>
    </w:lvl>
    <w:lvl w:ilvl="4">
      <w:start w:val="1"/>
      <w:numFmt w:val="bullet"/>
      <w:lvlText w:val=""/>
      <w:lvlJc w:val="left"/>
      <w:pPr>
        <w:tabs>
          <w:tab w:val="num" w:pos="4252"/>
        </w:tabs>
        <w:ind w:left="4252" w:hanging="567"/>
      </w:pPr>
      <w:rPr>
        <w:rFonts w:hint="default" w:ascii="Symbol" w:hAnsi="Symbol"/>
        <w:sz w:val="19"/>
      </w:rPr>
    </w:lvl>
    <w:lvl w:ilvl="5">
      <w:start w:val="1"/>
      <w:numFmt w:val="upperLetter"/>
      <w:lvlText w:val="(%6)"/>
      <w:lvlJc w:val="left"/>
      <w:pPr>
        <w:tabs>
          <w:tab w:val="num" w:pos="4819"/>
        </w:tabs>
        <w:ind w:left="4819" w:hanging="567"/>
      </w:pPr>
      <w:rPr>
        <w:rFonts w:hint="default"/>
        <w:sz w:val="19"/>
      </w:rPr>
    </w:lvl>
    <w:lvl w:ilvl="6">
      <w:start w:val="1"/>
      <w:numFmt w:val="decimal"/>
      <w:lvlText w:val="%1.%2.%3.%4.%5.%6.%7"/>
      <w:lvlJc w:val="left"/>
      <w:pPr>
        <w:tabs>
          <w:tab w:val="num" w:pos="5386"/>
        </w:tabs>
        <w:ind w:left="5386" w:hanging="3827"/>
      </w:pPr>
      <w:rPr>
        <w:rFonts w:hint="default"/>
      </w:rPr>
    </w:lvl>
    <w:lvl w:ilvl="7">
      <w:start w:val="1"/>
      <w:numFmt w:val="decimal"/>
      <w:lvlText w:val="%1.%2.%3.%4.%5.%6.%7.%8"/>
      <w:lvlJc w:val="left"/>
      <w:pPr>
        <w:tabs>
          <w:tab w:val="num" w:pos="2999"/>
        </w:tabs>
        <w:ind w:left="2999" w:hanging="1440"/>
      </w:pPr>
      <w:rPr>
        <w:rFonts w:hint="default"/>
      </w:rPr>
    </w:lvl>
    <w:lvl w:ilvl="8">
      <w:start w:val="1"/>
      <w:numFmt w:val="decimal"/>
      <w:lvlText w:val="%1.%2.%3.%4.%5.%6.%7.%8.%9"/>
      <w:lvlJc w:val="left"/>
      <w:pPr>
        <w:tabs>
          <w:tab w:val="num" w:pos="3359"/>
        </w:tabs>
        <w:ind w:left="3143" w:hanging="1584"/>
      </w:pPr>
      <w:rPr>
        <w:rFonts w:hint="default"/>
      </w:rPr>
    </w:lvl>
  </w:abstractNum>
  <w:abstractNum w:abstractNumId="49" w15:restartNumberingAfterBreak="0">
    <w:nsid w:val="52107FBD"/>
    <w:multiLevelType w:val="hybridMultilevel"/>
    <w:tmpl w:val="8B76CFBC"/>
    <w:lvl w:ilvl="0" w:tplc="8B06F5F6">
      <w:start w:val="1"/>
      <w:numFmt w:val="decimal"/>
      <w:pStyle w:val="Arabic6-10"/>
      <w:lvlText w:val="(%1)"/>
      <w:lvlJc w:val="left"/>
      <w:pPr>
        <w:tabs>
          <w:tab w:val="num" w:pos="3260"/>
        </w:tabs>
        <w:ind w:left="3260"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526F327D"/>
    <w:multiLevelType w:val="multilevel"/>
    <w:tmpl w:val="43905C74"/>
    <w:lvl w:ilvl="0">
      <w:start w:val="1"/>
      <w:numFmt w:val="bullet"/>
      <w:pStyle w:val="bullet2"/>
      <w:lvlText w:val=""/>
      <w:lvlJc w:val="left"/>
      <w:pPr>
        <w:tabs>
          <w:tab w:val="num" w:pos="992"/>
        </w:tabs>
        <w:ind w:left="992" w:hanging="567"/>
      </w:pPr>
      <w:rPr>
        <w:rFonts w:hint="default" w:ascii="Symbol" w:hAnsi="Symbol"/>
        <w:b/>
        <w:i w:val="0"/>
        <w:sz w:val="20"/>
      </w:rPr>
    </w:lvl>
    <w:lvl w:ilvl="1">
      <w:start w:val="1"/>
      <w:numFmt w:val="bullet"/>
      <w:lvlText w:val=""/>
      <w:lvlJc w:val="left"/>
      <w:pPr>
        <w:tabs>
          <w:tab w:val="num" w:pos="1417"/>
        </w:tabs>
        <w:ind w:left="1417" w:hanging="567"/>
      </w:pPr>
      <w:rPr>
        <w:rFonts w:hint="default" w:ascii="Symbol" w:hAnsi="Symbol"/>
        <w:sz w:val="20"/>
      </w:rPr>
    </w:lvl>
    <w:lvl w:ilvl="2">
      <w:start w:val="1"/>
      <w:numFmt w:val="bullet"/>
      <w:lvlText w:val=""/>
      <w:lvlJc w:val="left"/>
      <w:pPr>
        <w:tabs>
          <w:tab w:val="num" w:pos="1984"/>
        </w:tabs>
        <w:ind w:left="1984" w:hanging="567"/>
      </w:pPr>
      <w:rPr>
        <w:rFonts w:hint="default" w:ascii="Symbol" w:hAnsi="Symbol"/>
        <w:sz w:val="17"/>
      </w:rPr>
    </w:lvl>
    <w:lvl w:ilvl="3">
      <w:start w:val="1"/>
      <w:numFmt w:val="bullet"/>
      <w:lvlText w:val=""/>
      <w:lvlJc w:val="left"/>
      <w:pPr>
        <w:tabs>
          <w:tab w:val="num" w:pos="2551"/>
        </w:tabs>
        <w:ind w:left="2551" w:hanging="567"/>
      </w:pPr>
      <w:rPr>
        <w:rFonts w:hint="default" w:ascii="Symbol" w:hAnsi="Symbol"/>
        <w:sz w:val="19"/>
      </w:rPr>
    </w:lvl>
    <w:lvl w:ilvl="4">
      <w:start w:val="1"/>
      <w:numFmt w:val="bullet"/>
      <w:lvlText w:val=""/>
      <w:lvlJc w:val="left"/>
      <w:pPr>
        <w:tabs>
          <w:tab w:val="num" w:pos="3118"/>
        </w:tabs>
        <w:ind w:left="3118" w:hanging="567"/>
      </w:pPr>
      <w:rPr>
        <w:rFonts w:hint="default" w:ascii="Symbol" w:hAnsi="Symbol"/>
        <w:sz w:val="19"/>
      </w:rPr>
    </w:lvl>
    <w:lvl w:ilvl="5">
      <w:start w:val="1"/>
      <w:numFmt w:val="upperLetter"/>
      <w:lvlText w:val="(%6)"/>
      <w:lvlJc w:val="left"/>
      <w:pPr>
        <w:tabs>
          <w:tab w:val="num" w:pos="3685"/>
        </w:tabs>
        <w:ind w:left="3685" w:hanging="567"/>
      </w:pPr>
      <w:rPr>
        <w:rFonts w:hint="default"/>
        <w:sz w:val="19"/>
      </w:rPr>
    </w:lvl>
    <w:lvl w:ilvl="6">
      <w:start w:val="1"/>
      <w:numFmt w:val="decimal"/>
      <w:lvlText w:val="%1.%2.%3.%4.%5.%6.%7"/>
      <w:lvlJc w:val="left"/>
      <w:pPr>
        <w:tabs>
          <w:tab w:val="num" w:pos="4252"/>
        </w:tabs>
        <w:ind w:left="4252" w:hanging="3827"/>
      </w:pPr>
      <w:rPr>
        <w:rFonts w:hint="default"/>
      </w:rPr>
    </w:lvl>
    <w:lvl w:ilvl="7">
      <w:start w:val="1"/>
      <w:numFmt w:val="decimal"/>
      <w:lvlText w:val="%1.%2.%3.%4.%5.%6.%7.%8"/>
      <w:lvlJc w:val="left"/>
      <w:pPr>
        <w:tabs>
          <w:tab w:val="num" w:pos="1865"/>
        </w:tabs>
        <w:ind w:left="1865" w:hanging="1440"/>
      </w:pPr>
      <w:rPr>
        <w:rFonts w:hint="default"/>
      </w:rPr>
    </w:lvl>
    <w:lvl w:ilvl="8">
      <w:start w:val="1"/>
      <w:numFmt w:val="decimal"/>
      <w:lvlText w:val="%1.%2.%3.%4.%5.%6.%7.%8.%9"/>
      <w:lvlJc w:val="left"/>
      <w:pPr>
        <w:tabs>
          <w:tab w:val="num" w:pos="2225"/>
        </w:tabs>
        <w:ind w:left="2009" w:hanging="1584"/>
      </w:pPr>
      <w:rPr>
        <w:rFonts w:hint="default"/>
      </w:rPr>
    </w:lvl>
  </w:abstractNum>
  <w:abstractNum w:abstractNumId="51" w15:restartNumberingAfterBreak="0">
    <w:nsid w:val="582C6602"/>
    <w:multiLevelType w:val="singleLevel"/>
    <w:tmpl w:val="D06E86F4"/>
    <w:lvl w:ilvl="0">
      <w:start w:val="1"/>
      <w:numFmt w:val="upperLetter"/>
      <w:pStyle w:val="Alpha2-Abolditalic0"/>
      <w:lvlText w:val="(%1)"/>
      <w:lvlJc w:val="left"/>
      <w:pPr>
        <w:tabs>
          <w:tab w:val="num" w:pos="992"/>
        </w:tabs>
        <w:ind w:left="992" w:hanging="567"/>
      </w:pPr>
      <w:rPr>
        <w:rFonts w:hint="default"/>
      </w:rPr>
    </w:lvl>
  </w:abstractNum>
  <w:abstractNum w:abstractNumId="52" w15:restartNumberingAfterBreak="0">
    <w:nsid w:val="58E351C1"/>
    <w:multiLevelType w:val="singleLevel"/>
    <w:tmpl w:val="1D0EFCDE"/>
    <w:lvl w:ilvl="0">
      <w:start w:val="1"/>
      <w:numFmt w:val="upperLetter"/>
      <w:pStyle w:val="Alpha3-A0"/>
      <w:lvlText w:val="(%1)"/>
      <w:lvlJc w:val="left"/>
      <w:pPr>
        <w:tabs>
          <w:tab w:val="num" w:pos="1559"/>
        </w:tabs>
        <w:ind w:left="1559" w:hanging="567"/>
      </w:pPr>
      <w:rPr>
        <w:rFonts w:hint="default"/>
      </w:rPr>
    </w:lvl>
  </w:abstractNum>
  <w:abstractNum w:abstractNumId="53" w15:restartNumberingAfterBreak="0">
    <w:nsid w:val="5BBB4E10"/>
    <w:multiLevelType w:val="hybridMultilevel"/>
    <w:tmpl w:val="E1FE8B66"/>
    <w:lvl w:ilvl="0" w:tplc="674C4EDC">
      <w:start w:val="1"/>
      <w:numFmt w:val="upperLetter"/>
      <w:pStyle w:val="Alpha5-Abold"/>
      <w:lvlText w:val="(%1)"/>
      <w:lvlJc w:val="left"/>
      <w:pPr>
        <w:tabs>
          <w:tab w:val="num" w:pos="2693"/>
        </w:tabs>
        <w:ind w:left="2693" w:hanging="567"/>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608B7E63"/>
    <w:multiLevelType w:val="singleLevel"/>
    <w:tmpl w:val="1B9E0494"/>
    <w:lvl w:ilvl="0">
      <w:start w:val="1"/>
      <w:numFmt w:val="decimal"/>
      <w:pStyle w:val="Note"/>
      <w:lvlText w:val="(%1)"/>
      <w:lvlJc w:val="left"/>
      <w:pPr>
        <w:tabs>
          <w:tab w:val="num" w:pos="425"/>
        </w:tabs>
        <w:ind w:left="425" w:hanging="425"/>
      </w:pPr>
    </w:lvl>
  </w:abstractNum>
  <w:abstractNum w:abstractNumId="55" w15:restartNumberingAfterBreak="0">
    <w:nsid w:val="61746202"/>
    <w:multiLevelType w:val="hybridMultilevel"/>
    <w:tmpl w:val="70282F64"/>
    <w:lvl w:ilvl="0" w:tplc="FF24D4FE">
      <w:start w:val="1"/>
      <w:numFmt w:val="lowerRoman"/>
      <w:pStyle w:val="Roman6-i1"/>
      <w:lvlText w:val="(%1)"/>
      <w:lvlJc w:val="left"/>
      <w:pPr>
        <w:tabs>
          <w:tab w:val="num" w:pos="3260"/>
        </w:tabs>
        <w:ind w:left="3260"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6" w15:restartNumberingAfterBreak="0">
    <w:nsid w:val="61913453"/>
    <w:multiLevelType w:val="hybridMultilevel"/>
    <w:tmpl w:val="01EE607E"/>
    <w:lvl w:ilvl="0" w:tplc="FEB4DA0E">
      <w:start w:val="1"/>
      <w:numFmt w:val="upperRoman"/>
      <w:pStyle w:val="Roman4-I0"/>
      <w:lvlText w:val="(%1)"/>
      <w:lvlJc w:val="left"/>
      <w:pPr>
        <w:tabs>
          <w:tab w:val="num" w:pos="2126"/>
        </w:tabs>
        <w:ind w:left="2126"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7" w15:restartNumberingAfterBreak="0">
    <w:nsid w:val="66841215"/>
    <w:multiLevelType w:val="hybridMultilevel"/>
    <w:tmpl w:val="C93A2CD2"/>
    <w:lvl w:ilvl="0" w:tplc="07A49A7A">
      <w:start w:val="1"/>
      <w:numFmt w:val="decimal"/>
      <w:pStyle w:val="Arabic4-10"/>
      <w:lvlText w:val="(%1)"/>
      <w:lvlJc w:val="left"/>
      <w:pPr>
        <w:tabs>
          <w:tab w:val="num" w:pos="2126"/>
        </w:tabs>
        <w:ind w:left="2126"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69EF4378"/>
    <w:multiLevelType w:val="hybridMultilevel"/>
    <w:tmpl w:val="2F5ADFA4"/>
    <w:lvl w:ilvl="0" w:tplc="0B16C53C">
      <w:start w:val="1"/>
      <w:numFmt w:val="upperLetter"/>
      <w:pStyle w:val="Alpha4-A"/>
      <w:lvlText w:val="(%1)"/>
      <w:lvlJc w:val="left"/>
      <w:pPr>
        <w:tabs>
          <w:tab w:val="num" w:pos="2126"/>
        </w:tabs>
        <w:ind w:left="2126"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6BBB44DA"/>
    <w:multiLevelType w:val="multilevel"/>
    <w:tmpl w:val="DEFAB320"/>
    <w:lvl w:ilvl="0">
      <w:start w:val="1"/>
      <w:numFmt w:val="bullet"/>
      <w:pStyle w:val="bullet3"/>
      <w:lvlText w:val=""/>
      <w:lvlJc w:val="left"/>
      <w:pPr>
        <w:tabs>
          <w:tab w:val="num" w:pos="1559"/>
        </w:tabs>
        <w:ind w:left="1559" w:hanging="567"/>
      </w:pPr>
      <w:rPr>
        <w:rFonts w:hint="default" w:ascii="Symbol" w:hAnsi="Symbol"/>
        <w:b/>
        <w:i w:val="0"/>
        <w:sz w:val="20"/>
      </w:rPr>
    </w:lvl>
    <w:lvl w:ilvl="1">
      <w:start w:val="1"/>
      <w:numFmt w:val="bullet"/>
      <w:lvlText w:val=""/>
      <w:lvlJc w:val="left"/>
      <w:pPr>
        <w:tabs>
          <w:tab w:val="num" w:pos="1984"/>
        </w:tabs>
        <w:ind w:left="1984" w:hanging="567"/>
      </w:pPr>
      <w:rPr>
        <w:rFonts w:hint="default" w:ascii="Symbol" w:hAnsi="Symbol"/>
        <w:sz w:val="20"/>
      </w:rPr>
    </w:lvl>
    <w:lvl w:ilvl="2">
      <w:start w:val="1"/>
      <w:numFmt w:val="bullet"/>
      <w:lvlText w:val=""/>
      <w:lvlJc w:val="left"/>
      <w:pPr>
        <w:tabs>
          <w:tab w:val="num" w:pos="2551"/>
        </w:tabs>
        <w:ind w:left="2551" w:hanging="567"/>
      </w:pPr>
      <w:rPr>
        <w:rFonts w:hint="default" w:ascii="Symbol" w:hAnsi="Symbol"/>
        <w:sz w:val="17"/>
      </w:rPr>
    </w:lvl>
    <w:lvl w:ilvl="3">
      <w:start w:val="1"/>
      <w:numFmt w:val="bullet"/>
      <w:lvlText w:val=""/>
      <w:lvlJc w:val="left"/>
      <w:pPr>
        <w:tabs>
          <w:tab w:val="num" w:pos="3118"/>
        </w:tabs>
        <w:ind w:left="3118" w:hanging="567"/>
      </w:pPr>
      <w:rPr>
        <w:rFonts w:hint="default" w:ascii="Symbol" w:hAnsi="Symbol"/>
        <w:sz w:val="19"/>
      </w:rPr>
    </w:lvl>
    <w:lvl w:ilvl="4">
      <w:start w:val="1"/>
      <w:numFmt w:val="bullet"/>
      <w:lvlText w:val=""/>
      <w:lvlJc w:val="left"/>
      <w:pPr>
        <w:tabs>
          <w:tab w:val="num" w:pos="3685"/>
        </w:tabs>
        <w:ind w:left="3685" w:hanging="567"/>
      </w:pPr>
      <w:rPr>
        <w:rFonts w:hint="default" w:ascii="Symbol" w:hAnsi="Symbol"/>
        <w:sz w:val="19"/>
      </w:rPr>
    </w:lvl>
    <w:lvl w:ilvl="5">
      <w:start w:val="1"/>
      <w:numFmt w:val="upperLetter"/>
      <w:lvlText w:val="(%6)"/>
      <w:lvlJc w:val="left"/>
      <w:pPr>
        <w:tabs>
          <w:tab w:val="num" w:pos="4252"/>
        </w:tabs>
        <w:ind w:left="4252" w:hanging="567"/>
      </w:pPr>
      <w:rPr>
        <w:rFonts w:hint="default"/>
        <w:sz w:val="19"/>
      </w:rPr>
    </w:lvl>
    <w:lvl w:ilvl="6">
      <w:start w:val="1"/>
      <w:numFmt w:val="decimal"/>
      <w:lvlText w:val="%1.%2.%3.%4.%5.%6.%7"/>
      <w:lvlJc w:val="left"/>
      <w:pPr>
        <w:tabs>
          <w:tab w:val="num" w:pos="4819"/>
        </w:tabs>
        <w:ind w:left="4819" w:hanging="3827"/>
      </w:pPr>
      <w:rPr>
        <w:rFonts w:hint="default"/>
      </w:rPr>
    </w:lvl>
    <w:lvl w:ilvl="7">
      <w:start w:val="1"/>
      <w:numFmt w:val="decimal"/>
      <w:lvlText w:val="%1.%2.%3.%4.%5.%6.%7.%8"/>
      <w:lvlJc w:val="left"/>
      <w:pPr>
        <w:tabs>
          <w:tab w:val="num" w:pos="2432"/>
        </w:tabs>
        <w:ind w:left="2432" w:hanging="1440"/>
      </w:pPr>
      <w:rPr>
        <w:rFonts w:hint="default"/>
      </w:rPr>
    </w:lvl>
    <w:lvl w:ilvl="8">
      <w:start w:val="1"/>
      <w:numFmt w:val="decimal"/>
      <w:lvlText w:val="%1.%2.%3.%4.%5.%6.%7.%8.%9"/>
      <w:lvlJc w:val="left"/>
      <w:pPr>
        <w:tabs>
          <w:tab w:val="num" w:pos="2792"/>
        </w:tabs>
        <w:ind w:left="2576" w:hanging="1584"/>
      </w:pPr>
      <w:rPr>
        <w:rFonts w:hint="default"/>
      </w:rPr>
    </w:lvl>
  </w:abstractNum>
  <w:abstractNum w:abstractNumId="60" w15:restartNumberingAfterBreak="0">
    <w:nsid w:val="6C1C448F"/>
    <w:multiLevelType w:val="singleLevel"/>
    <w:tmpl w:val="474A6D54"/>
    <w:lvl w:ilvl="0">
      <w:start w:val="1"/>
      <w:numFmt w:val="decimal"/>
      <w:pStyle w:val="CellNumber"/>
      <w:lvlText w:val="%1"/>
      <w:lvlJc w:val="left"/>
      <w:pPr>
        <w:tabs>
          <w:tab w:val="num" w:pos="425"/>
        </w:tabs>
        <w:ind w:left="425" w:hanging="425"/>
      </w:pPr>
    </w:lvl>
  </w:abstractNum>
  <w:abstractNum w:abstractNumId="61" w15:restartNumberingAfterBreak="0">
    <w:nsid w:val="6F9E5C60"/>
    <w:multiLevelType w:val="singleLevel"/>
    <w:tmpl w:val="FC5C03D6"/>
    <w:lvl w:ilvl="0">
      <w:start w:val="1"/>
      <w:numFmt w:val="upperLetter"/>
      <w:pStyle w:val="Alpha1G-Aitalic"/>
      <w:lvlText w:val="(%1)"/>
      <w:lvlJc w:val="left"/>
      <w:pPr>
        <w:tabs>
          <w:tab w:val="num" w:pos="425"/>
        </w:tabs>
        <w:ind w:left="425" w:hanging="425"/>
      </w:pPr>
      <w:rPr>
        <w:rFonts w:hint="default"/>
      </w:rPr>
    </w:lvl>
  </w:abstractNum>
  <w:abstractNum w:abstractNumId="62" w15:restartNumberingAfterBreak="0">
    <w:nsid w:val="71911479"/>
    <w:multiLevelType w:val="hybridMultilevel"/>
    <w:tmpl w:val="0F6C12BA"/>
    <w:lvl w:ilvl="0" w:tplc="54E8A734">
      <w:start w:val="1"/>
      <w:numFmt w:val="upperLetter"/>
      <w:pStyle w:val="Alpha4-Aitalic"/>
      <w:lvlText w:val="(%1)"/>
      <w:lvlJc w:val="left"/>
      <w:pPr>
        <w:tabs>
          <w:tab w:val="num" w:pos="2126"/>
        </w:tabs>
        <w:ind w:left="2126" w:hanging="567"/>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72904889"/>
    <w:multiLevelType w:val="hybridMultilevel"/>
    <w:tmpl w:val="EEB677B2"/>
    <w:lvl w:ilvl="0" w:tplc="61765234">
      <w:start w:val="1"/>
      <w:numFmt w:val="decimal"/>
      <w:pStyle w:val="Arabic3-10"/>
      <w:lvlText w:val="%1."/>
      <w:lvlJc w:val="left"/>
      <w:pPr>
        <w:tabs>
          <w:tab w:val="num" w:pos="1559"/>
        </w:tabs>
        <w:ind w:left="1559"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7470420D"/>
    <w:multiLevelType w:val="singleLevel"/>
    <w:tmpl w:val="10CA9982"/>
    <w:lvl w:ilvl="0">
      <w:start w:val="1"/>
      <w:numFmt w:val="lowerLetter"/>
      <w:pStyle w:val="Alpha2aitalicnum"/>
      <w:lvlText w:val="(%1)"/>
      <w:lvlJc w:val="left"/>
      <w:pPr>
        <w:tabs>
          <w:tab w:val="num" w:pos="992"/>
        </w:tabs>
        <w:ind w:left="992" w:hanging="567"/>
      </w:pPr>
      <w:rPr>
        <w:rFonts w:hint="default"/>
        <w:b w:val="0"/>
        <w:i/>
      </w:rPr>
    </w:lvl>
  </w:abstractNum>
  <w:abstractNum w:abstractNumId="65" w15:restartNumberingAfterBreak="0">
    <w:nsid w:val="77280355"/>
    <w:multiLevelType w:val="hybridMultilevel"/>
    <w:tmpl w:val="F948FE22"/>
    <w:lvl w:ilvl="0" w:tplc="B836A386">
      <w:start w:val="1"/>
      <w:numFmt w:val="upperRoman"/>
      <w:pStyle w:val="Roman5-I1"/>
      <w:lvlText w:val="%1"/>
      <w:lvlJc w:val="left"/>
      <w:pPr>
        <w:tabs>
          <w:tab w:val="num" w:pos="2693"/>
        </w:tabs>
        <w:ind w:left="2693"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6" w15:restartNumberingAfterBreak="0">
    <w:nsid w:val="778275B5"/>
    <w:multiLevelType w:val="hybridMultilevel"/>
    <w:tmpl w:val="06122BD2"/>
    <w:lvl w:ilvl="0" w:tplc="3EDCDBAC">
      <w:start w:val="1"/>
      <w:numFmt w:val="lowerRoman"/>
      <w:pStyle w:val="Roman4-i1"/>
      <w:lvlText w:val="(%1)"/>
      <w:lvlJc w:val="left"/>
      <w:pPr>
        <w:tabs>
          <w:tab w:val="num" w:pos="2126"/>
        </w:tabs>
        <w:ind w:left="2126"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7" w15:restartNumberingAfterBreak="0">
    <w:nsid w:val="7F0955DC"/>
    <w:multiLevelType w:val="hybridMultilevel"/>
    <w:tmpl w:val="F0324C8C"/>
    <w:lvl w:ilvl="0" w:tplc="6DCA3768">
      <w:start w:val="1"/>
      <w:numFmt w:val="lowerLetter"/>
      <w:pStyle w:val="Alpha4-a0"/>
      <w:lvlText w:val="(%1)"/>
      <w:lvlJc w:val="left"/>
      <w:pPr>
        <w:tabs>
          <w:tab w:val="num" w:pos="2126"/>
        </w:tabs>
        <w:ind w:left="2126"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48092619">
    <w:abstractNumId w:val="54"/>
  </w:num>
  <w:num w:numId="2" w16cid:durableId="673189870">
    <w:abstractNumId w:val="26"/>
  </w:num>
  <w:num w:numId="3" w16cid:durableId="1663660312">
    <w:abstractNumId w:val="20"/>
  </w:num>
  <w:num w:numId="4" w16cid:durableId="1077939737">
    <w:abstractNumId w:val="61"/>
  </w:num>
  <w:num w:numId="5" w16cid:durableId="432289947">
    <w:abstractNumId w:val="45"/>
  </w:num>
  <w:num w:numId="6" w16cid:durableId="1574897292">
    <w:abstractNumId w:val="28"/>
  </w:num>
  <w:num w:numId="7" w16cid:durableId="477306082">
    <w:abstractNumId w:val="39"/>
  </w:num>
  <w:num w:numId="8" w16cid:durableId="1691494111">
    <w:abstractNumId w:val="22"/>
  </w:num>
  <w:num w:numId="9" w16cid:durableId="1193300619">
    <w:abstractNumId w:val="51"/>
  </w:num>
  <w:num w:numId="10" w16cid:durableId="1864589912">
    <w:abstractNumId w:val="18"/>
  </w:num>
  <w:num w:numId="11" w16cid:durableId="1968658981">
    <w:abstractNumId w:val="31"/>
  </w:num>
  <w:num w:numId="12" w16cid:durableId="1424185859">
    <w:abstractNumId w:val="36"/>
  </w:num>
  <w:num w:numId="13" w16cid:durableId="975452425">
    <w:abstractNumId w:val="64"/>
  </w:num>
  <w:num w:numId="14" w16cid:durableId="428088829">
    <w:abstractNumId w:val="52"/>
  </w:num>
  <w:num w:numId="15" w16cid:durableId="1839224591">
    <w:abstractNumId w:val="27"/>
  </w:num>
  <w:num w:numId="16" w16cid:durableId="1023896125">
    <w:abstractNumId w:val="24"/>
  </w:num>
  <w:num w:numId="17" w16cid:durableId="1095050642">
    <w:abstractNumId w:val="2"/>
  </w:num>
  <w:num w:numId="18" w16cid:durableId="1591967084">
    <w:abstractNumId w:val="67"/>
  </w:num>
  <w:num w:numId="19" w16cid:durableId="2134059903">
    <w:abstractNumId w:val="58"/>
  </w:num>
  <w:num w:numId="20" w16cid:durableId="2072800455">
    <w:abstractNumId w:val="42"/>
  </w:num>
  <w:num w:numId="21" w16cid:durableId="1561092272">
    <w:abstractNumId w:val="62"/>
  </w:num>
  <w:num w:numId="22" w16cid:durableId="1808545643">
    <w:abstractNumId w:val="11"/>
  </w:num>
  <w:num w:numId="23" w16cid:durableId="767845319">
    <w:abstractNumId w:val="10"/>
  </w:num>
  <w:num w:numId="24" w16cid:durableId="1125201206">
    <w:abstractNumId w:val="53"/>
  </w:num>
  <w:num w:numId="25" w16cid:durableId="633028630">
    <w:abstractNumId w:val="12"/>
  </w:num>
  <w:num w:numId="26" w16cid:durableId="812718787">
    <w:abstractNumId w:val="46"/>
  </w:num>
  <w:num w:numId="27" w16cid:durableId="150756747">
    <w:abstractNumId w:val="5"/>
  </w:num>
  <w:num w:numId="28" w16cid:durableId="1261063937">
    <w:abstractNumId w:val="21"/>
  </w:num>
  <w:num w:numId="29" w16cid:durableId="542447613">
    <w:abstractNumId w:val="63"/>
  </w:num>
  <w:num w:numId="30" w16cid:durableId="2086488310">
    <w:abstractNumId w:val="57"/>
  </w:num>
  <w:num w:numId="31" w16cid:durableId="760688211">
    <w:abstractNumId w:val="38"/>
  </w:num>
  <w:num w:numId="32" w16cid:durableId="1393624927">
    <w:abstractNumId w:val="37"/>
  </w:num>
  <w:num w:numId="33" w16cid:durableId="1497529145">
    <w:abstractNumId w:val="8"/>
  </w:num>
  <w:num w:numId="34" w16cid:durableId="1488864556">
    <w:abstractNumId w:val="49"/>
  </w:num>
  <w:num w:numId="35" w16cid:durableId="1749232956">
    <w:abstractNumId w:val="23"/>
  </w:num>
  <w:num w:numId="36" w16cid:durableId="1252543009">
    <w:abstractNumId w:val="50"/>
  </w:num>
  <w:num w:numId="37" w16cid:durableId="623077370">
    <w:abstractNumId w:val="59"/>
  </w:num>
  <w:num w:numId="38" w16cid:durableId="11995566">
    <w:abstractNumId w:val="48"/>
  </w:num>
  <w:num w:numId="39" w16cid:durableId="987637895">
    <w:abstractNumId w:val="16"/>
  </w:num>
  <w:num w:numId="40" w16cid:durableId="1172839122">
    <w:abstractNumId w:val="6"/>
  </w:num>
  <w:num w:numId="41" w16cid:durableId="205608776">
    <w:abstractNumId w:val="60"/>
  </w:num>
  <w:num w:numId="42" w16cid:durableId="1628006662">
    <w:abstractNumId w:val="1"/>
  </w:num>
  <w:num w:numId="43" w16cid:durableId="1272979046">
    <w:abstractNumId w:val="15"/>
  </w:num>
  <w:num w:numId="44" w16cid:durableId="1370884178">
    <w:abstractNumId w:val="54"/>
  </w:num>
  <w:num w:numId="45" w16cid:durableId="2087803753">
    <w:abstractNumId w:val="4"/>
  </w:num>
  <w:num w:numId="46" w16cid:durableId="131102268">
    <w:abstractNumId w:val="47"/>
  </w:num>
  <w:num w:numId="47" w16cid:durableId="2009401595">
    <w:abstractNumId w:val="13"/>
  </w:num>
  <w:num w:numId="48" w16cid:durableId="1793551434">
    <w:abstractNumId w:val="7"/>
  </w:num>
  <w:num w:numId="49" w16cid:durableId="2046127594">
    <w:abstractNumId w:val="35"/>
  </w:num>
  <w:num w:numId="50" w16cid:durableId="1634094599">
    <w:abstractNumId w:val="29"/>
  </w:num>
  <w:num w:numId="51" w16cid:durableId="802193210">
    <w:abstractNumId w:val="66"/>
  </w:num>
  <w:num w:numId="52" w16cid:durableId="1389913662">
    <w:abstractNumId w:val="56"/>
  </w:num>
  <w:num w:numId="53" w16cid:durableId="1822650610">
    <w:abstractNumId w:val="41"/>
  </w:num>
  <w:num w:numId="54" w16cid:durableId="1665233742">
    <w:abstractNumId w:val="25"/>
  </w:num>
  <w:num w:numId="55" w16cid:durableId="1707101751">
    <w:abstractNumId w:val="17"/>
  </w:num>
  <w:num w:numId="56" w16cid:durableId="793056323">
    <w:abstractNumId w:val="65"/>
  </w:num>
  <w:num w:numId="57" w16cid:durableId="2097435535">
    <w:abstractNumId w:val="55"/>
  </w:num>
  <w:num w:numId="58" w16cid:durableId="473647826">
    <w:abstractNumId w:val="14"/>
  </w:num>
  <w:num w:numId="59" w16cid:durableId="491262575">
    <w:abstractNumId w:val="19"/>
  </w:num>
  <w:num w:numId="60" w16cid:durableId="1779787140">
    <w:abstractNumId w:val="0"/>
  </w:num>
  <w:num w:numId="61" w16cid:durableId="295258535">
    <w:abstractNumId w:val="9"/>
  </w:num>
  <w:num w:numId="62" w16cid:durableId="862325060">
    <w:abstractNumId w:val="30"/>
  </w:num>
  <w:num w:numId="63" w16cid:durableId="1888108138">
    <w:abstractNumId w:val="34"/>
  </w:num>
  <w:num w:numId="64" w16cid:durableId="1426422028">
    <w:abstractNumId w:val="3"/>
  </w:num>
  <w:num w:numId="65" w16cid:durableId="16374463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94877879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1918387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8957482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7598395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10654143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11794190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71357279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15422630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952546121">
    <w:abstractNumId w:val="40"/>
  </w:num>
  <w:num w:numId="75" w16cid:durableId="750155450">
    <w:abstractNumId w:val="32"/>
  </w:num>
  <w:num w:numId="76" w16cid:durableId="196044702">
    <w:abstractNumId w:val="43"/>
  </w:num>
  <w:num w:numId="77" w16cid:durableId="828061847">
    <w:abstractNumId w:val="44"/>
  </w:num>
  <w:num w:numId="78" w16cid:durableId="1077675499">
    <w:abstractNumId w:val="33"/>
  </w:num>
  <w:numIdMacAtCleanup w:val="7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bordersDoNotSurroundHeader/>
  <w:bordersDoNotSurroundFooter/>
  <w:activeWritingStyle w:lang="ru-RU" w:vendorID="64" w:dllVersion="0" w:nlCheck="1" w:checkStyle="0" w:appName="MSWord"/>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trackRevisions w:val="false"/>
  <w:doNotTrackMoves/>
  <w:doNotTrackFormatting/>
  <w:defaultTabStop w:val="864"/>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MS_BusinessUnitID" w:val="LinklatersLLP"/>
    <w:docVar w:name="TMS_CultureID" w:val="English-UK"/>
    <w:docVar w:name="TMS_OfficeID" w:val="London"/>
    <w:docVar w:name="TMS_TEMPLATE_ID" w:val="OfferingCircular"/>
  </w:docVars>
  <w:rsids>
    <w:rsidRoot w:val="00FB30D6"/>
    <w:rsid w:val="00000234"/>
    <w:rsid w:val="00000428"/>
    <w:rsid w:val="000005AE"/>
    <w:rsid w:val="00001019"/>
    <w:rsid w:val="0000120D"/>
    <w:rsid w:val="0000185D"/>
    <w:rsid w:val="0000210A"/>
    <w:rsid w:val="0000227C"/>
    <w:rsid w:val="000023B5"/>
    <w:rsid w:val="00002BE8"/>
    <w:rsid w:val="00003AED"/>
    <w:rsid w:val="00003EAA"/>
    <w:rsid w:val="000042D0"/>
    <w:rsid w:val="00007FA1"/>
    <w:rsid w:val="00010126"/>
    <w:rsid w:val="00010429"/>
    <w:rsid w:val="00011E2B"/>
    <w:rsid w:val="00011E31"/>
    <w:rsid w:val="00012A44"/>
    <w:rsid w:val="00013F27"/>
    <w:rsid w:val="00014721"/>
    <w:rsid w:val="000148CB"/>
    <w:rsid w:val="0001518D"/>
    <w:rsid w:val="00015540"/>
    <w:rsid w:val="00017B5B"/>
    <w:rsid w:val="00020920"/>
    <w:rsid w:val="00020D49"/>
    <w:rsid w:val="0002309D"/>
    <w:rsid w:val="00023B65"/>
    <w:rsid w:val="00024895"/>
    <w:rsid w:val="0002516D"/>
    <w:rsid w:val="000258A7"/>
    <w:rsid w:val="00026C12"/>
    <w:rsid w:val="000279A7"/>
    <w:rsid w:val="00027C04"/>
    <w:rsid w:val="00027DCD"/>
    <w:rsid w:val="00030385"/>
    <w:rsid w:val="0003084E"/>
    <w:rsid w:val="00030AFE"/>
    <w:rsid w:val="0003135E"/>
    <w:rsid w:val="000322F9"/>
    <w:rsid w:val="000326FB"/>
    <w:rsid w:val="00032ADB"/>
    <w:rsid w:val="00034311"/>
    <w:rsid w:val="0003473C"/>
    <w:rsid w:val="00034A04"/>
    <w:rsid w:val="0003733E"/>
    <w:rsid w:val="00040760"/>
    <w:rsid w:val="00041039"/>
    <w:rsid w:val="00041D2C"/>
    <w:rsid w:val="00042372"/>
    <w:rsid w:val="000431E3"/>
    <w:rsid w:val="0004345D"/>
    <w:rsid w:val="00045304"/>
    <w:rsid w:val="00045560"/>
    <w:rsid w:val="00045DC2"/>
    <w:rsid w:val="000464DE"/>
    <w:rsid w:val="00050000"/>
    <w:rsid w:val="00051BD1"/>
    <w:rsid w:val="00052A34"/>
    <w:rsid w:val="00052F99"/>
    <w:rsid w:val="00053CE5"/>
    <w:rsid w:val="00053D93"/>
    <w:rsid w:val="00053EA8"/>
    <w:rsid w:val="000542CF"/>
    <w:rsid w:val="00055416"/>
    <w:rsid w:val="00056201"/>
    <w:rsid w:val="0005622D"/>
    <w:rsid w:val="0006108B"/>
    <w:rsid w:val="000623AD"/>
    <w:rsid w:val="0006307D"/>
    <w:rsid w:val="000630C0"/>
    <w:rsid w:val="000636E5"/>
    <w:rsid w:val="00063D2C"/>
    <w:rsid w:val="00064FC9"/>
    <w:rsid w:val="0006524C"/>
    <w:rsid w:val="00065DAD"/>
    <w:rsid w:val="00065F7F"/>
    <w:rsid w:val="00066BD3"/>
    <w:rsid w:val="00067996"/>
    <w:rsid w:val="000712F2"/>
    <w:rsid w:val="0007138C"/>
    <w:rsid w:val="0007151D"/>
    <w:rsid w:val="00071595"/>
    <w:rsid w:val="00071975"/>
    <w:rsid w:val="000724F7"/>
    <w:rsid w:val="00073707"/>
    <w:rsid w:val="00076621"/>
    <w:rsid w:val="0007789C"/>
    <w:rsid w:val="000802BC"/>
    <w:rsid w:val="0008036F"/>
    <w:rsid w:val="00080DA7"/>
    <w:rsid w:val="00081800"/>
    <w:rsid w:val="00083549"/>
    <w:rsid w:val="00083E64"/>
    <w:rsid w:val="00085287"/>
    <w:rsid w:val="00086F00"/>
    <w:rsid w:val="00090B7E"/>
    <w:rsid w:val="0009110D"/>
    <w:rsid w:val="00091192"/>
    <w:rsid w:val="00091676"/>
    <w:rsid w:val="0009167A"/>
    <w:rsid w:val="0009332F"/>
    <w:rsid w:val="0009348D"/>
    <w:rsid w:val="000944CE"/>
    <w:rsid w:val="00094F30"/>
    <w:rsid w:val="000951AE"/>
    <w:rsid w:val="00095930"/>
    <w:rsid w:val="00096418"/>
    <w:rsid w:val="0009654C"/>
    <w:rsid w:val="00097ADD"/>
    <w:rsid w:val="000A0EAE"/>
    <w:rsid w:val="000A28E8"/>
    <w:rsid w:val="000A2F05"/>
    <w:rsid w:val="000A399E"/>
    <w:rsid w:val="000A3DFB"/>
    <w:rsid w:val="000A43EB"/>
    <w:rsid w:val="000A4B01"/>
    <w:rsid w:val="000A68A0"/>
    <w:rsid w:val="000A760E"/>
    <w:rsid w:val="000B021B"/>
    <w:rsid w:val="000B0906"/>
    <w:rsid w:val="000B1160"/>
    <w:rsid w:val="000B145B"/>
    <w:rsid w:val="000B18D2"/>
    <w:rsid w:val="000B23A0"/>
    <w:rsid w:val="000B25DE"/>
    <w:rsid w:val="000B34D2"/>
    <w:rsid w:val="000B3976"/>
    <w:rsid w:val="000B3EFB"/>
    <w:rsid w:val="000B483E"/>
    <w:rsid w:val="000B49ED"/>
    <w:rsid w:val="000B5C61"/>
    <w:rsid w:val="000B6463"/>
    <w:rsid w:val="000B64DC"/>
    <w:rsid w:val="000C0C99"/>
    <w:rsid w:val="000C12F7"/>
    <w:rsid w:val="000C259D"/>
    <w:rsid w:val="000C29E3"/>
    <w:rsid w:val="000C327A"/>
    <w:rsid w:val="000C3DF5"/>
    <w:rsid w:val="000C41CD"/>
    <w:rsid w:val="000C4B62"/>
    <w:rsid w:val="000C52A8"/>
    <w:rsid w:val="000C65D0"/>
    <w:rsid w:val="000C663B"/>
    <w:rsid w:val="000C7421"/>
    <w:rsid w:val="000C792E"/>
    <w:rsid w:val="000D0139"/>
    <w:rsid w:val="000D121B"/>
    <w:rsid w:val="000D2CD6"/>
    <w:rsid w:val="000D34B6"/>
    <w:rsid w:val="000D36B5"/>
    <w:rsid w:val="000D5330"/>
    <w:rsid w:val="000D6B98"/>
    <w:rsid w:val="000D7B98"/>
    <w:rsid w:val="000E0D5F"/>
    <w:rsid w:val="000E1111"/>
    <w:rsid w:val="000E248A"/>
    <w:rsid w:val="000E39F8"/>
    <w:rsid w:val="000E5662"/>
    <w:rsid w:val="000E57C2"/>
    <w:rsid w:val="000F0FBF"/>
    <w:rsid w:val="000F1BDC"/>
    <w:rsid w:val="000F1F64"/>
    <w:rsid w:val="000F2524"/>
    <w:rsid w:val="000F2819"/>
    <w:rsid w:val="000F28BB"/>
    <w:rsid w:val="000F3BAC"/>
    <w:rsid w:val="000F405D"/>
    <w:rsid w:val="000F417F"/>
    <w:rsid w:val="000F506F"/>
    <w:rsid w:val="000F5544"/>
    <w:rsid w:val="000F583D"/>
    <w:rsid w:val="000F5F78"/>
    <w:rsid w:val="000F7655"/>
    <w:rsid w:val="001002F2"/>
    <w:rsid w:val="001004E4"/>
    <w:rsid w:val="00101A56"/>
    <w:rsid w:val="0010249A"/>
    <w:rsid w:val="00104432"/>
    <w:rsid w:val="00104495"/>
    <w:rsid w:val="00104ABB"/>
    <w:rsid w:val="00104DC6"/>
    <w:rsid w:val="00105788"/>
    <w:rsid w:val="00106283"/>
    <w:rsid w:val="00106890"/>
    <w:rsid w:val="00106D11"/>
    <w:rsid w:val="00106D45"/>
    <w:rsid w:val="00107389"/>
    <w:rsid w:val="00110D3B"/>
    <w:rsid w:val="0011143D"/>
    <w:rsid w:val="001129C7"/>
    <w:rsid w:val="001135AA"/>
    <w:rsid w:val="00113B47"/>
    <w:rsid w:val="001221F7"/>
    <w:rsid w:val="0012280F"/>
    <w:rsid w:val="00122B55"/>
    <w:rsid w:val="00122E16"/>
    <w:rsid w:val="001232A3"/>
    <w:rsid w:val="00125C1B"/>
    <w:rsid w:val="00125F46"/>
    <w:rsid w:val="00126959"/>
    <w:rsid w:val="00127A4A"/>
    <w:rsid w:val="00130558"/>
    <w:rsid w:val="00130657"/>
    <w:rsid w:val="0013110D"/>
    <w:rsid w:val="0013168F"/>
    <w:rsid w:val="00132E90"/>
    <w:rsid w:val="0013490D"/>
    <w:rsid w:val="00135582"/>
    <w:rsid w:val="00135CBB"/>
    <w:rsid w:val="0013710C"/>
    <w:rsid w:val="00137266"/>
    <w:rsid w:val="001378F8"/>
    <w:rsid w:val="00137BD9"/>
    <w:rsid w:val="00137F3B"/>
    <w:rsid w:val="001414CF"/>
    <w:rsid w:val="00142060"/>
    <w:rsid w:val="001423EB"/>
    <w:rsid w:val="0014243E"/>
    <w:rsid w:val="001426A2"/>
    <w:rsid w:val="001428A2"/>
    <w:rsid w:val="00145028"/>
    <w:rsid w:val="001452CB"/>
    <w:rsid w:val="001508C0"/>
    <w:rsid w:val="00151AE3"/>
    <w:rsid w:val="00153802"/>
    <w:rsid w:val="0015399A"/>
    <w:rsid w:val="0015728F"/>
    <w:rsid w:val="001574BA"/>
    <w:rsid w:val="00161AC1"/>
    <w:rsid w:val="00162A43"/>
    <w:rsid w:val="00163B77"/>
    <w:rsid w:val="001640FA"/>
    <w:rsid w:val="00164757"/>
    <w:rsid w:val="0016499C"/>
    <w:rsid w:val="001656F5"/>
    <w:rsid w:val="00165AF1"/>
    <w:rsid w:val="00167FD1"/>
    <w:rsid w:val="0017000C"/>
    <w:rsid w:val="00170788"/>
    <w:rsid w:val="00170935"/>
    <w:rsid w:val="00171E0A"/>
    <w:rsid w:val="00173585"/>
    <w:rsid w:val="001737B1"/>
    <w:rsid w:val="00174777"/>
    <w:rsid w:val="00175482"/>
    <w:rsid w:val="0017574B"/>
    <w:rsid w:val="0017588A"/>
    <w:rsid w:val="001759E7"/>
    <w:rsid w:val="00175AB4"/>
    <w:rsid w:val="001764F6"/>
    <w:rsid w:val="0017664A"/>
    <w:rsid w:val="0018066B"/>
    <w:rsid w:val="00180BD2"/>
    <w:rsid w:val="001810EB"/>
    <w:rsid w:val="00181BA3"/>
    <w:rsid w:val="001822B6"/>
    <w:rsid w:val="001823F1"/>
    <w:rsid w:val="00182EEE"/>
    <w:rsid w:val="00184028"/>
    <w:rsid w:val="00184A14"/>
    <w:rsid w:val="00184B11"/>
    <w:rsid w:val="00187DCB"/>
    <w:rsid w:val="00191044"/>
    <w:rsid w:val="001912EE"/>
    <w:rsid w:val="001923FB"/>
    <w:rsid w:val="001929A8"/>
    <w:rsid w:val="0019384A"/>
    <w:rsid w:val="001962EF"/>
    <w:rsid w:val="001966E1"/>
    <w:rsid w:val="00196C3C"/>
    <w:rsid w:val="00197157"/>
    <w:rsid w:val="001A1A69"/>
    <w:rsid w:val="001A2870"/>
    <w:rsid w:val="001A293E"/>
    <w:rsid w:val="001A2E6F"/>
    <w:rsid w:val="001A4382"/>
    <w:rsid w:val="001A5996"/>
    <w:rsid w:val="001A5C6B"/>
    <w:rsid w:val="001A5D20"/>
    <w:rsid w:val="001B3FBF"/>
    <w:rsid w:val="001B4B18"/>
    <w:rsid w:val="001B77A6"/>
    <w:rsid w:val="001B7A56"/>
    <w:rsid w:val="001C090D"/>
    <w:rsid w:val="001C0B71"/>
    <w:rsid w:val="001C0BD7"/>
    <w:rsid w:val="001C0FA9"/>
    <w:rsid w:val="001C1221"/>
    <w:rsid w:val="001C1ED5"/>
    <w:rsid w:val="001C1FC9"/>
    <w:rsid w:val="001C2918"/>
    <w:rsid w:val="001C2D67"/>
    <w:rsid w:val="001C4EB6"/>
    <w:rsid w:val="001C6713"/>
    <w:rsid w:val="001C78C8"/>
    <w:rsid w:val="001D0555"/>
    <w:rsid w:val="001D0ADF"/>
    <w:rsid w:val="001D1487"/>
    <w:rsid w:val="001D2247"/>
    <w:rsid w:val="001D2E54"/>
    <w:rsid w:val="001D3268"/>
    <w:rsid w:val="001D3BF7"/>
    <w:rsid w:val="001D3E75"/>
    <w:rsid w:val="001D4D02"/>
    <w:rsid w:val="001D4DF2"/>
    <w:rsid w:val="001D51DD"/>
    <w:rsid w:val="001D55BC"/>
    <w:rsid w:val="001D6417"/>
    <w:rsid w:val="001D7D5E"/>
    <w:rsid w:val="001D7E22"/>
    <w:rsid w:val="001E0830"/>
    <w:rsid w:val="001E14D4"/>
    <w:rsid w:val="001E171A"/>
    <w:rsid w:val="001E20C4"/>
    <w:rsid w:val="001E2EBF"/>
    <w:rsid w:val="001E5437"/>
    <w:rsid w:val="001E6105"/>
    <w:rsid w:val="001E6661"/>
    <w:rsid w:val="001E7354"/>
    <w:rsid w:val="001E7962"/>
    <w:rsid w:val="001F0FF5"/>
    <w:rsid w:val="001F1AD9"/>
    <w:rsid w:val="001F2C7A"/>
    <w:rsid w:val="001F2EC8"/>
    <w:rsid w:val="001F2F8F"/>
    <w:rsid w:val="001F3AFD"/>
    <w:rsid w:val="001F56AC"/>
    <w:rsid w:val="001F5C1C"/>
    <w:rsid w:val="001F6E13"/>
    <w:rsid w:val="001F78DD"/>
    <w:rsid w:val="00200635"/>
    <w:rsid w:val="00201163"/>
    <w:rsid w:val="002018D1"/>
    <w:rsid w:val="00201B96"/>
    <w:rsid w:val="00202EDA"/>
    <w:rsid w:val="002037B9"/>
    <w:rsid w:val="002037C1"/>
    <w:rsid w:val="002055E9"/>
    <w:rsid w:val="00205F26"/>
    <w:rsid w:val="00206F87"/>
    <w:rsid w:val="00207091"/>
    <w:rsid w:val="002072F1"/>
    <w:rsid w:val="0021006F"/>
    <w:rsid w:val="00211296"/>
    <w:rsid w:val="00212870"/>
    <w:rsid w:val="00214DBA"/>
    <w:rsid w:val="002154D2"/>
    <w:rsid w:val="002168F1"/>
    <w:rsid w:val="00216E47"/>
    <w:rsid w:val="00220C31"/>
    <w:rsid w:val="00220E2C"/>
    <w:rsid w:val="00220E8F"/>
    <w:rsid w:val="0022121B"/>
    <w:rsid w:val="00221B7A"/>
    <w:rsid w:val="00222429"/>
    <w:rsid w:val="00222FC3"/>
    <w:rsid w:val="00223529"/>
    <w:rsid w:val="00223CC5"/>
    <w:rsid w:val="00224B59"/>
    <w:rsid w:val="00226F87"/>
    <w:rsid w:val="002270E2"/>
    <w:rsid w:val="0023279D"/>
    <w:rsid w:val="002327CD"/>
    <w:rsid w:val="00232BEE"/>
    <w:rsid w:val="0023627A"/>
    <w:rsid w:val="00236FFD"/>
    <w:rsid w:val="002377F0"/>
    <w:rsid w:val="0024115F"/>
    <w:rsid w:val="00242375"/>
    <w:rsid w:val="002429A7"/>
    <w:rsid w:val="00243E9B"/>
    <w:rsid w:val="0024412A"/>
    <w:rsid w:val="002450A5"/>
    <w:rsid w:val="0024568E"/>
    <w:rsid w:val="002460B3"/>
    <w:rsid w:val="0024666E"/>
    <w:rsid w:val="00246C88"/>
    <w:rsid w:val="00246D0A"/>
    <w:rsid w:val="002473ED"/>
    <w:rsid w:val="00247E7B"/>
    <w:rsid w:val="002508F0"/>
    <w:rsid w:val="00254D93"/>
    <w:rsid w:val="00255F43"/>
    <w:rsid w:val="00256066"/>
    <w:rsid w:val="0025613C"/>
    <w:rsid w:val="00260C6A"/>
    <w:rsid w:val="00260FE5"/>
    <w:rsid w:val="00263222"/>
    <w:rsid w:val="00264128"/>
    <w:rsid w:val="0026413F"/>
    <w:rsid w:val="00264C2A"/>
    <w:rsid w:val="00264F78"/>
    <w:rsid w:val="00265AA4"/>
    <w:rsid w:val="0026604B"/>
    <w:rsid w:val="0026619D"/>
    <w:rsid w:val="00266B8B"/>
    <w:rsid w:val="002675E1"/>
    <w:rsid w:val="0027014A"/>
    <w:rsid w:val="0027199E"/>
    <w:rsid w:val="00271F83"/>
    <w:rsid w:val="00273ADC"/>
    <w:rsid w:val="00273B37"/>
    <w:rsid w:val="00273DE6"/>
    <w:rsid w:val="00273EA1"/>
    <w:rsid w:val="002740A3"/>
    <w:rsid w:val="00274664"/>
    <w:rsid w:val="00274A82"/>
    <w:rsid w:val="002760AA"/>
    <w:rsid w:val="0027613F"/>
    <w:rsid w:val="0028183F"/>
    <w:rsid w:val="0028220F"/>
    <w:rsid w:val="002824D2"/>
    <w:rsid w:val="002827CE"/>
    <w:rsid w:val="002844CA"/>
    <w:rsid w:val="002846E1"/>
    <w:rsid w:val="002851A7"/>
    <w:rsid w:val="002857DE"/>
    <w:rsid w:val="00285B6F"/>
    <w:rsid w:val="00285C33"/>
    <w:rsid w:val="00285F26"/>
    <w:rsid w:val="00285FA5"/>
    <w:rsid w:val="00287389"/>
    <w:rsid w:val="00287728"/>
    <w:rsid w:val="0028778D"/>
    <w:rsid w:val="00287976"/>
    <w:rsid w:val="00290E94"/>
    <w:rsid w:val="002915AE"/>
    <w:rsid w:val="00292033"/>
    <w:rsid w:val="00292F06"/>
    <w:rsid w:val="00294673"/>
    <w:rsid w:val="0029595B"/>
    <w:rsid w:val="002A18E0"/>
    <w:rsid w:val="002A1B05"/>
    <w:rsid w:val="002A1D3D"/>
    <w:rsid w:val="002A1FC9"/>
    <w:rsid w:val="002A619D"/>
    <w:rsid w:val="002A6703"/>
    <w:rsid w:val="002A6FA9"/>
    <w:rsid w:val="002A6FF0"/>
    <w:rsid w:val="002A70C1"/>
    <w:rsid w:val="002A7C82"/>
    <w:rsid w:val="002B067E"/>
    <w:rsid w:val="002B30EE"/>
    <w:rsid w:val="002B468C"/>
    <w:rsid w:val="002B53E8"/>
    <w:rsid w:val="002B7CDF"/>
    <w:rsid w:val="002C03F8"/>
    <w:rsid w:val="002C0979"/>
    <w:rsid w:val="002C293F"/>
    <w:rsid w:val="002C29C2"/>
    <w:rsid w:val="002C3245"/>
    <w:rsid w:val="002C3655"/>
    <w:rsid w:val="002C4761"/>
    <w:rsid w:val="002C5175"/>
    <w:rsid w:val="002C70C2"/>
    <w:rsid w:val="002D0C43"/>
    <w:rsid w:val="002D136B"/>
    <w:rsid w:val="002D202A"/>
    <w:rsid w:val="002D30C7"/>
    <w:rsid w:val="002D655E"/>
    <w:rsid w:val="002E0388"/>
    <w:rsid w:val="002E0CD0"/>
    <w:rsid w:val="002E1252"/>
    <w:rsid w:val="002E1787"/>
    <w:rsid w:val="002E1F8E"/>
    <w:rsid w:val="002E2CA7"/>
    <w:rsid w:val="002E3784"/>
    <w:rsid w:val="002E3A8D"/>
    <w:rsid w:val="002E3FDA"/>
    <w:rsid w:val="002E5AE6"/>
    <w:rsid w:val="002E70A7"/>
    <w:rsid w:val="002F00DB"/>
    <w:rsid w:val="002F2BE0"/>
    <w:rsid w:val="002F2BFC"/>
    <w:rsid w:val="002F2EDB"/>
    <w:rsid w:val="002F35BF"/>
    <w:rsid w:val="002F38AD"/>
    <w:rsid w:val="002F3B56"/>
    <w:rsid w:val="002F3C96"/>
    <w:rsid w:val="002F507E"/>
    <w:rsid w:val="002F569F"/>
    <w:rsid w:val="002F5B0F"/>
    <w:rsid w:val="002F6A72"/>
    <w:rsid w:val="002F735C"/>
    <w:rsid w:val="002F75E6"/>
    <w:rsid w:val="002F7830"/>
    <w:rsid w:val="00303845"/>
    <w:rsid w:val="00303A34"/>
    <w:rsid w:val="00303CD2"/>
    <w:rsid w:val="00303E1E"/>
    <w:rsid w:val="00304991"/>
    <w:rsid w:val="00305935"/>
    <w:rsid w:val="0030613C"/>
    <w:rsid w:val="00306941"/>
    <w:rsid w:val="003101B6"/>
    <w:rsid w:val="003103DE"/>
    <w:rsid w:val="00310868"/>
    <w:rsid w:val="003108C5"/>
    <w:rsid w:val="0031092F"/>
    <w:rsid w:val="00312551"/>
    <w:rsid w:val="003128E5"/>
    <w:rsid w:val="00313202"/>
    <w:rsid w:val="003136E9"/>
    <w:rsid w:val="003147E3"/>
    <w:rsid w:val="00315177"/>
    <w:rsid w:val="003153CA"/>
    <w:rsid w:val="00315CAD"/>
    <w:rsid w:val="0031631E"/>
    <w:rsid w:val="00317185"/>
    <w:rsid w:val="00317AB0"/>
    <w:rsid w:val="00320144"/>
    <w:rsid w:val="00321CD8"/>
    <w:rsid w:val="00323669"/>
    <w:rsid w:val="0032457D"/>
    <w:rsid w:val="0032553C"/>
    <w:rsid w:val="00325FD0"/>
    <w:rsid w:val="003260FF"/>
    <w:rsid w:val="0032756B"/>
    <w:rsid w:val="0033004F"/>
    <w:rsid w:val="00330106"/>
    <w:rsid w:val="00330C58"/>
    <w:rsid w:val="0033391B"/>
    <w:rsid w:val="00333E83"/>
    <w:rsid w:val="00334C6C"/>
    <w:rsid w:val="00334DC0"/>
    <w:rsid w:val="0033589B"/>
    <w:rsid w:val="00336A71"/>
    <w:rsid w:val="00337D82"/>
    <w:rsid w:val="003401D6"/>
    <w:rsid w:val="00340C78"/>
    <w:rsid w:val="00340D7D"/>
    <w:rsid w:val="0034231B"/>
    <w:rsid w:val="003423F3"/>
    <w:rsid w:val="00343207"/>
    <w:rsid w:val="0034420A"/>
    <w:rsid w:val="00345732"/>
    <w:rsid w:val="00345AEE"/>
    <w:rsid w:val="00345B14"/>
    <w:rsid w:val="00347158"/>
    <w:rsid w:val="00347FEE"/>
    <w:rsid w:val="003527BC"/>
    <w:rsid w:val="00354F50"/>
    <w:rsid w:val="00356958"/>
    <w:rsid w:val="0035696E"/>
    <w:rsid w:val="003610FF"/>
    <w:rsid w:val="0036189F"/>
    <w:rsid w:val="00362379"/>
    <w:rsid w:val="00362A43"/>
    <w:rsid w:val="003630C3"/>
    <w:rsid w:val="00363AC4"/>
    <w:rsid w:val="0036437E"/>
    <w:rsid w:val="00364C07"/>
    <w:rsid w:val="003677DF"/>
    <w:rsid w:val="00371667"/>
    <w:rsid w:val="00371904"/>
    <w:rsid w:val="00371C03"/>
    <w:rsid w:val="00372220"/>
    <w:rsid w:val="00372275"/>
    <w:rsid w:val="0037332F"/>
    <w:rsid w:val="0037385D"/>
    <w:rsid w:val="00373B0B"/>
    <w:rsid w:val="00373B42"/>
    <w:rsid w:val="00373F54"/>
    <w:rsid w:val="003757B3"/>
    <w:rsid w:val="00375943"/>
    <w:rsid w:val="00376057"/>
    <w:rsid w:val="003772EF"/>
    <w:rsid w:val="00377C6C"/>
    <w:rsid w:val="003802BC"/>
    <w:rsid w:val="0038037C"/>
    <w:rsid w:val="00380CB7"/>
    <w:rsid w:val="00380F94"/>
    <w:rsid w:val="00381174"/>
    <w:rsid w:val="003812E2"/>
    <w:rsid w:val="003818B4"/>
    <w:rsid w:val="00381C19"/>
    <w:rsid w:val="0038277E"/>
    <w:rsid w:val="00383E60"/>
    <w:rsid w:val="00384118"/>
    <w:rsid w:val="00385362"/>
    <w:rsid w:val="00385A67"/>
    <w:rsid w:val="00385AC1"/>
    <w:rsid w:val="00385DA3"/>
    <w:rsid w:val="003864B8"/>
    <w:rsid w:val="00386937"/>
    <w:rsid w:val="003874C8"/>
    <w:rsid w:val="00387A39"/>
    <w:rsid w:val="0039099F"/>
    <w:rsid w:val="00390ED1"/>
    <w:rsid w:val="00391568"/>
    <w:rsid w:val="0039219A"/>
    <w:rsid w:val="003925D0"/>
    <w:rsid w:val="00392D7A"/>
    <w:rsid w:val="00393247"/>
    <w:rsid w:val="003940B2"/>
    <w:rsid w:val="00394851"/>
    <w:rsid w:val="00394931"/>
    <w:rsid w:val="003953BA"/>
    <w:rsid w:val="00396B61"/>
    <w:rsid w:val="003973D1"/>
    <w:rsid w:val="00397A87"/>
    <w:rsid w:val="003A064A"/>
    <w:rsid w:val="003A071C"/>
    <w:rsid w:val="003A0D92"/>
    <w:rsid w:val="003A1312"/>
    <w:rsid w:val="003A15D1"/>
    <w:rsid w:val="003A1D4F"/>
    <w:rsid w:val="003A298E"/>
    <w:rsid w:val="003A2ACD"/>
    <w:rsid w:val="003A3784"/>
    <w:rsid w:val="003A3CE9"/>
    <w:rsid w:val="003A4E74"/>
    <w:rsid w:val="003A4FFC"/>
    <w:rsid w:val="003A525B"/>
    <w:rsid w:val="003B03AF"/>
    <w:rsid w:val="003B10F7"/>
    <w:rsid w:val="003B2435"/>
    <w:rsid w:val="003B547E"/>
    <w:rsid w:val="003B56FD"/>
    <w:rsid w:val="003B67D4"/>
    <w:rsid w:val="003C0B57"/>
    <w:rsid w:val="003C14AA"/>
    <w:rsid w:val="003C3B26"/>
    <w:rsid w:val="003C4D7E"/>
    <w:rsid w:val="003C5B78"/>
    <w:rsid w:val="003C5DAE"/>
    <w:rsid w:val="003C5EDB"/>
    <w:rsid w:val="003C7479"/>
    <w:rsid w:val="003C76EC"/>
    <w:rsid w:val="003C7935"/>
    <w:rsid w:val="003D0585"/>
    <w:rsid w:val="003D0FAC"/>
    <w:rsid w:val="003D3240"/>
    <w:rsid w:val="003D33E0"/>
    <w:rsid w:val="003D3BC9"/>
    <w:rsid w:val="003D4606"/>
    <w:rsid w:val="003D53C4"/>
    <w:rsid w:val="003D6710"/>
    <w:rsid w:val="003D6750"/>
    <w:rsid w:val="003D6837"/>
    <w:rsid w:val="003E0837"/>
    <w:rsid w:val="003E0F66"/>
    <w:rsid w:val="003E2D26"/>
    <w:rsid w:val="003E3419"/>
    <w:rsid w:val="003E3A5F"/>
    <w:rsid w:val="003E5E74"/>
    <w:rsid w:val="003E6D3F"/>
    <w:rsid w:val="003E6FF6"/>
    <w:rsid w:val="003E722E"/>
    <w:rsid w:val="003E746F"/>
    <w:rsid w:val="003E76AB"/>
    <w:rsid w:val="003E7D12"/>
    <w:rsid w:val="003E7D24"/>
    <w:rsid w:val="003F1303"/>
    <w:rsid w:val="003F16A1"/>
    <w:rsid w:val="003F194F"/>
    <w:rsid w:val="003F1E2F"/>
    <w:rsid w:val="003F25FC"/>
    <w:rsid w:val="003F3068"/>
    <w:rsid w:val="003F4654"/>
    <w:rsid w:val="003F4ACA"/>
    <w:rsid w:val="003F5243"/>
    <w:rsid w:val="003F63C2"/>
    <w:rsid w:val="003F65F6"/>
    <w:rsid w:val="003F79B5"/>
    <w:rsid w:val="003F7A4D"/>
    <w:rsid w:val="003F7DA5"/>
    <w:rsid w:val="0040059D"/>
    <w:rsid w:val="00401DA9"/>
    <w:rsid w:val="00403476"/>
    <w:rsid w:val="0040488A"/>
    <w:rsid w:val="004055BE"/>
    <w:rsid w:val="004057C5"/>
    <w:rsid w:val="0040681E"/>
    <w:rsid w:val="00406B52"/>
    <w:rsid w:val="00407ED7"/>
    <w:rsid w:val="00407F4F"/>
    <w:rsid w:val="00411BB0"/>
    <w:rsid w:val="00411F22"/>
    <w:rsid w:val="00412B88"/>
    <w:rsid w:val="00413872"/>
    <w:rsid w:val="00413911"/>
    <w:rsid w:val="00413F36"/>
    <w:rsid w:val="004140C8"/>
    <w:rsid w:val="004146C2"/>
    <w:rsid w:val="00414A70"/>
    <w:rsid w:val="004159B9"/>
    <w:rsid w:val="004172BD"/>
    <w:rsid w:val="00417DAB"/>
    <w:rsid w:val="00421166"/>
    <w:rsid w:val="00421656"/>
    <w:rsid w:val="00421F1F"/>
    <w:rsid w:val="004227B6"/>
    <w:rsid w:val="00423D0E"/>
    <w:rsid w:val="00423DCF"/>
    <w:rsid w:val="004242D9"/>
    <w:rsid w:val="00424469"/>
    <w:rsid w:val="004251DA"/>
    <w:rsid w:val="0042553E"/>
    <w:rsid w:val="00425E75"/>
    <w:rsid w:val="004260FB"/>
    <w:rsid w:val="00426F60"/>
    <w:rsid w:val="00427E05"/>
    <w:rsid w:val="00427EE1"/>
    <w:rsid w:val="004306EE"/>
    <w:rsid w:val="00430CF2"/>
    <w:rsid w:val="00431A91"/>
    <w:rsid w:val="00433705"/>
    <w:rsid w:val="0043538F"/>
    <w:rsid w:val="004364A0"/>
    <w:rsid w:val="00436590"/>
    <w:rsid w:val="004369B7"/>
    <w:rsid w:val="00437162"/>
    <w:rsid w:val="00440E5C"/>
    <w:rsid w:val="004413D3"/>
    <w:rsid w:val="00441C27"/>
    <w:rsid w:val="00441EA2"/>
    <w:rsid w:val="00442B08"/>
    <w:rsid w:val="004438E4"/>
    <w:rsid w:val="004460ED"/>
    <w:rsid w:val="004462EF"/>
    <w:rsid w:val="00446DB1"/>
    <w:rsid w:val="0045114F"/>
    <w:rsid w:val="004512B6"/>
    <w:rsid w:val="0045141D"/>
    <w:rsid w:val="0045188A"/>
    <w:rsid w:val="004530E9"/>
    <w:rsid w:val="00453696"/>
    <w:rsid w:val="00457291"/>
    <w:rsid w:val="00460C18"/>
    <w:rsid w:val="00461013"/>
    <w:rsid w:val="004618FE"/>
    <w:rsid w:val="0046212A"/>
    <w:rsid w:val="00463D84"/>
    <w:rsid w:val="00466018"/>
    <w:rsid w:val="00466635"/>
    <w:rsid w:val="00466BFC"/>
    <w:rsid w:val="00466F40"/>
    <w:rsid w:val="0046797D"/>
    <w:rsid w:val="00467A98"/>
    <w:rsid w:val="00467AB5"/>
    <w:rsid w:val="00467F87"/>
    <w:rsid w:val="0047031B"/>
    <w:rsid w:val="00471B73"/>
    <w:rsid w:val="00471C7B"/>
    <w:rsid w:val="004732FD"/>
    <w:rsid w:val="00473566"/>
    <w:rsid w:val="00473723"/>
    <w:rsid w:val="00473FFC"/>
    <w:rsid w:val="004742FF"/>
    <w:rsid w:val="0047485D"/>
    <w:rsid w:val="00474DFA"/>
    <w:rsid w:val="004751F3"/>
    <w:rsid w:val="00476A64"/>
    <w:rsid w:val="004776BF"/>
    <w:rsid w:val="00477D6B"/>
    <w:rsid w:val="00480655"/>
    <w:rsid w:val="00480DF9"/>
    <w:rsid w:val="00481444"/>
    <w:rsid w:val="00481D87"/>
    <w:rsid w:val="004822F7"/>
    <w:rsid w:val="00482B12"/>
    <w:rsid w:val="00483F15"/>
    <w:rsid w:val="004843B0"/>
    <w:rsid w:val="00484A3B"/>
    <w:rsid w:val="00484C31"/>
    <w:rsid w:val="00486664"/>
    <w:rsid w:val="00486E62"/>
    <w:rsid w:val="0048772A"/>
    <w:rsid w:val="00487AB4"/>
    <w:rsid w:val="00487C3A"/>
    <w:rsid w:val="00490F46"/>
    <w:rsid w:val="00491386"/>
    <w:rsid w:val="00491F1F"/>
    <w:rsid w:val="00492822"/>
    <w:rsid w:val="004938E1"/>
    <w:rsid w:val="004939BB"/>
    <w:rsid w:val="00494956"/>
    <w:rsid w:val="004953B8"/>
    <w:rsid w:val="00495854"/>
    <w:rsid w:val="00495BA1"/>
    <w:rsid w:val="0049609A"/>
    <w:rsid w:val="00496D0A"/>
    <w:rsid w:val="004976D9"/>
    <w:rsid w:val="004A1865"/>
    <w:rsid w:val="004A24FF"/>
    <w:rsid w:val="004A29F7"/>
    <w:rsid w:val="004A3139"/>
    <w:rsid w:val="004A413C"/>
    <w:rsid w:val="004A71AA"/>
    <w:rsid w:val="004B0DDB"/>
    <w:rsid w:val="004B160D"/>
    <w:rsid w:val="004B1690"/>
    <w:rsid w:val="004B2BB3"/>
    <w:rsid w:val="004B2CC0"/>
    <w:rsid w:val="004B3284"/>
    <w:rsid w:val="004B3829"/>
    <w:rsid w:val="004B4B2C"/>
    <w:rsid w:val="004B4C3E"/>
    <w:rsid w:val="004B5016"/>
    <w:rsid w:val="004B7710"/>
    <w:rsid w:val="004C0788"/>
    <w:rsid w:val="004C1548"/>
    <w:rsid w:val="004C1C4D"/>
    <w:rsid w:val="004C201D"/>
    <w:rsid w:val="004C5078"/>
    <w:rsid w:val="004C50A0"/>
    <w:rsid w:val="004C7DED"/>
    <w:rsid w:val="004D02E2"/>
    <w:rsid w:val="004D0447"/>
    <w:rsid w:val="004D0EFC"/>
    <w:rsid w:val="004D2F93"/>
    <w:rsid w:val="004D6103"/>
    <w:rsid w:val="004D686F"/>
    <w:rsid w:val="004D6F09"/>
    <w:rsid w:val="004E048C"/>
    <w:rsid w:val="004E1D31"/>
    <w:rsid w:val="004E262E"/>
    <w:rsid w:val="004E285F"/>
    <w:rsid w:val="004E320F"/>
    <w:rsid w:val="004E37ED"/>
    <w:rsid w:val="004E446D"/>
    <w:rsid w:val="004E4709"/>
    <w:rsid w:val="004E5252"/>
    <w:rsid w:val="004F01E3"/>
    <w:rsid w:val="004F08C5"/>
    <w:rsid w:val="004F13BF"/>
    <w:rsid w:val="004F174D"/>
    <w:rsid w:val="004F29C5"/>
    <w:rsid w:val="004F2C8D"/>
    <w:rsid w:val="004F31F8"/>
    <w:rsid w:val="004F325E"/>
    <w:rsid w:val="004F3384"/>
    <w:rsid w:val="004F3BDF"/>
    <w:rsid w:val="004F4B7B"/>
    <w:rsid w:val="004F4CC2"/>
    <w:rsid w:val="004F71D3"/>
    <w:rsid w:val="005003BC"/>
    <w:rsid w:val="005020FD"/>
    <w:rsid w:val="00503436"/>
    <w:rsid w:val="00504FD3"/>
    <w:rsid w:val="0050672C"/>
    <w:rsid w:val="00506CE5"/>
    <w:rsid w:val="005071B4"/>
    <w:rsid w:val="005100CE"/>
    <w:rsid w:val="005100E0"/>
    <w:rsid w:val="00510132"/>
    <w:rsid w:val="0051024A"/>
    <w:rsid w:val="005108B7"/>
    <w:rsid w:val="00511147"/>
    <w:rsid w:val="00511DD9"/>
    <w:rsid w:val="00511E34"/>
    <w:rsid w:val="00512847"/>
    <w:rsid w:val="00514594"/>
    <w:rsid w:val="00514838"/>
    <w:rsid w:val="005153A0"/>
    <w:rsid w:val="005153D0"/>
    <w:rsid w:val="005154F2"/>
    <w:rsid w:val="00517852"/>
    <w:rsid w:val="00517F5A"/>
    <w:rsid w:val="00522251"/>
    <w:rsid w:val="00522842"/>
    <w:rsid w:val="00524AA6"/>
    <w:rsid w:val="0052507A"/>
    <w:rsid w:val="005252C0"/>
    <w:rsid w:val="00525FF8"/>
    <w:rsid w:val="00526162"/>
    <w:rsid w:val="00526728"/>
    <w:rsid w:val="00527E67"/>
    <w:rsid w:val="00530303"/>
    <w:rsid w:val="0053035A"/>
    <w:rsid w:val="005305CB"/>
    <w:rsid w:val="00530CBE"/>
    <w:rsid w:val="00531E11"/>
    <w:rsid w:val="005320B2"/>
    <w:rsid w:val="00532278"/>
    <w:rsid w:val="005325DA"/>
    <w:rsid w:val="0053328E"/>
    <w:rsid w:val="00533CD0"/>
    <w:rsid w:val="00534018"/>
    <w:rsid w:val="00534047"/>
    <w:rsid w:val="00534703"/>
    <w:rsid w:val="005349C7"/>
    <w:rsid w:val="00534C09"/>
    <w:rsid w:val="0053684D"/>
    <w:rsid w:val="00536A09"/>
    <w:rsid w:val="00536A4C"/>
    <w:rsid w:val="00536A59"/>
    <w:rsid w:val="005376CC"/>
    <w:rsid w:val="0054034D"/>
    <w:rsid w:val="00540668"/>
    <w:rsid w:val="00540A25"/>
    <w:rsid w:val="005410B8"/>
    <w:rsid w:val="00543116"/>
    <w:rsid w:val="0054354A"/>
    <w:rsid w:val="0054443E"/>
    <w:rsid w:val="00544FED"/>
    <w:rsid w:val="00545CC9"/>
    <w:rsid w:val="00545E0B"/>
    <w:rsid w:val="005508E4"/>
    <w:rsid w:val="00550DE1"/>
    <w:rsid w:val="00552004"/>
    <w:rsid w:val="00552775"/>
    <w:rsid w:val="005535AD"/>
    <w:rsid w:val="00554C4B"/>
    <w:rsid w:val="0055583E"/>
    <w:rsid w:val="005558DE"/>
    <w:rsid w:val="005578E4"/>
    <w:rsid w:val="00561273"/>
    <w:rsid w:val="00562A23"/>
    <w:rsid w:val="00562ADE"/>
    <w:rsid w:val="00562C82"/>
    <w:rsid w:val="00562E8E"/>
    <w:rsid w:val="00563124"/>
    <w:rsid w:val="0056519A"/>
    <w:rsid w:val="00570005"/>
    <w:rsid w:val="005714EA"/>
    <w:rsid w:val="00571789"/>
    <w:rsid w:val="00571BA8"/>
    <w:rsid w:val="00572CAF"/>
    <w:rsid w:val="00574705"/>
    <w:rsid w:val="00574C68"/>
    <w:rsid w:val="00575028"/>
    <w:rsid w:val="00575B9F"/>
    <w:rsid w:val="00575F67"/>
    <w:rsid w:val="00576669"/>
    <w:rsid w:val="00576B24"/>
    <w:rsid w:val="00577052"/>
    <w:rsid w:val="00577206"/>
    <w:rsid w:val="00577298"/>
    <w:rsid w:val="00577533"/>
    <w:rsid w:val="00581244"/>
    <w:rsid w:val="005812CC"/>
    <w:rsid w:val="00581FD9"/>
    <w:rsid w:val="00582216"/>
    <w:rsid w:val="005828BD"/>
    <w:rsid w:val="00583CB2"/>
    <w:rsid w:val="00584DB1"/>
    <w:rsid w:val="005866A4"/>
    <w:rsid w:val="005867CD"/>
    <w:rsid w:val="00586E60"/>
    <w:rsid w:val="00587085"/>
    <w:rsid w:val="0058724B"/>
    <w:rsid w:val="00591B93"/>
    <w:rsid w:val="00591D97"/>
    <w:rsid w:val="00595269"/>
    <w:rsid w:val="00597756"/>
    <w:rsid w:val="00597E9D"/>
    <w:rsid w:val="00597F95"/>
    <w:rsid w:val="005A00B9"/>
    <w:rsid w:val="005A0278"/>
    <w:rsid w:val="005A0F6F"/>
    <w:rsid w:val="005A1C1F"/>
    <w:rsid w:val="005A2974"/>
    <w:rsid w:val="005A395B"/>
    <w:rsid w:val="005A408F"/>
    <w:rsid w:val="005A47B4"/>
    <w:rsid w:val="005A5E0E"/>
    <w:rsid w:val="005A60AE"/>
    <w:rsid w:val="005B009D"/>
    <w:rsid w:val="005B0815"/>
    <w:rsid w:val="005B177C"/>
    <w:rsid w:val="005B1BC5"/>
    <w:rsid w:val="005B243C"/>
    <w:rsid w:val="005B3643"/>
    <w:rsid w:val="005B5581"/>
    <w:rsid w:val="005B718D"/>
    <w:rsid w:val="005B7B1D"/>
    <w:rsid w:val="005C07FC"/>
    <w:rsid w:val="005C08CB"/>
    <w:rsid w:val="005C19E2"/>
    <w:rsid w:val="005C2826"/>
    <w:rsid w:val="005C36B6"/>
    <w:rsid w:val="005C3997"/>
    <w:rsid w:val="005C3BD8"/>
    <w:rsid w:val="005C3D48"/>
    <w:rsid w:val="005C4620"/>
    <w:rsid w:val="005C4C34"/>
    <w:rsid w:val="005C4CE0"/>
    <w:rsid w:val="005C4F0B"/>
    <w:rsid w:val="005C5BE8"/>
    <w:rsid w:val="005C6274"/>
    <w:rsid w:val="005C6373"/>
    <w:rsid w:val="005C6868"/>
    <w:rsid w:val="005C752E"/>
    <w:rsid w:val="005D1E5B"/>
    <w:rsid w:val="005D1EBD"/>
    <w:rsid w:val="005D1F07"/>
    <w:rsid w:val="005D24B2"/>
    <w:rsid w:val="005D28B7"/>
    <w:rsid w:val="005D4923"/>
    <w:rsid w:val="005D5B7D"/>
    <w:rsid w:val="005D6102"/>
    <w:rsid w:val="005D68B6"/>
    <w:rsid w:val="005D6940"/>
    <w:rsid w:val="005D6EF1"/>
    <w:rsid w:val="005D735E"/>
    <w:rsid w:val="005D7F4B"/>
    <w:rsid w:val="005E058E"/>
    <w:rsid w:val="005E51F0"/>
    <w:rsid w:val="005E5D8F"/>
    <w:rsid w:val="005E63DC"/>
    <w:rsid w:val="005E67C8"/>
    <w:rsid w:val="005E6A4F"/>
    <w:rsid w:val="005E774E"/>
    <w:rsid w:val="005F0307"/>
    <w:rsid w:val="005F0C09"/>
    <w:rsid w:val="005F0C29"/>
    <w:rsid w:val="005F138F"/>
    <w:rsid w:val="005F4009"/>
    <w:rsid w:val="005F44F5"/>
    <w:rsid w:val="005F4B22"/>
    <w:rsid w:val="005F5F3E"/>
    <w:rsid w:val="005F663D"/>
    <w:rsid w:val="005F69FF"/>
    <w:rsid w:val="005F71B4"/>
    <w:rsid w:val="00600CCB"/>
    <w:rsid w:val="00602440"/>
    <w:rsid w:val="00602E9E"/>
    <w:rsid w:val="00604898"/>
    <w:rsid w:val="006049C6"/>
    <w:rsid w:val="00604E8D"/>
    <w:rsid w:val="006053BC"/>
    <w:rsid w:val="00605EB4"/>
    <w:rsid w:val="00606233"/>
    <w:rsid w:val="00607886"/>
    <w:rsid w:val="00607DA7"/>
    <w:rsid w:val="0061111C"/>
    <w:rsid w:val="00611978"/>
    <w:rsid w:val="006126CB"/>
    <w:rsid w:val="00613905"/>
    <w:rsid w:val="00614E98"/>
    <w:rsid w:val="00615749"/>
    <w:rsid w:val="0061623B"/>
    <w:rsid w:val="00616722"/>
    <w:rsid w:val="00617408"/>
    <w:rsid w:val="00620410"/>
    <w:rsid w:val="00620872"/>
    <w:rsid w:val="00621AF4"/>
    <w:rsid w:val="00621DD1"/>
    <w:rsid w:val="00622101"/>
    <w:rsid w:val="006224E4"/>
    <w:rsid w:val="00622977"/>
    <w:rsid w:val="00622B62"/>
    <w:rsid w:val="00622E0D"/>
    <w:rsid w:val="0062304D"/>
    <w:rsid w:val="00625107"/>
    <w:rsid w:val="00625693"/>
    <w:rsid w:val="00625CD7"/>
    <w:rsid w:val="00625F79"/>
    <w:rsid w:val="006265DC"/>
    <w:rsid w:val="0063014C"/>
    <w:rsid w:val="0063019A"/>
    <w:rsid w:val="0063042F"/>
    <w:rsid w:val="00630435"/>
    <w:rsid w:val="006307A5"/>
    <w:rsid w:val="00631AEE"/>
    <w:rsid w:val="00632506"/>
    <w:rsid w:val="00632788"/>
    <w:rsid w:val="00632BA7"/>
    <w:rsid w:val="00632EC9"/>
    <w:rsid w:val="0063342B"/>
    <w:rsid w:val="0063372B"/>
    <w:rsid w:val="006359D6"/>
    <w:rsid w:val="006367CA"/>
    <w:rsid w:val="00640ACC"/>
    <w:rsid w:val="006423CB"/>
    <w:rsid w:val="0064334E"/>
    <w:rsid w:val="006452B4"/>
    <w:rsid w:val="00647BEC"/>
    <w:rsid w:val="00650904"/>
    <w:rsid w:val="00650A5B"/>
    <w:rsid w:val="006511CB"/>
    <w:rsid w:val="0065202F"/>
    <w:rsid w:val="006522B1"/>
    <w:rsid w:val="006530AA"/>
    <w:rsid w:val="00653468"/>
    <w:rsid w:val="00654E43"/>
    <w:rsid w:val="00655A7B"/>
    <w:rsid w:val="00656149"/>
    <w:rsid w:val="00656A05"/>
    <w:rsid w:val="00657046"/>
    <w:rsid w:val="0066058E"/>
    <w:rsid w:val="00661C34"/>
    <w:rsid w:val="0066298E"/>
    <w:rsid w:val="00662B84"/>
    <w:rsid w:val="00662E23"/>
    <w:rsid w:val="0066323A"/>
    <w:rsid w:val="00663556"/>
    <w:rsid w:val="00664471"/>
    <w:rsid w:val="006645F7"/>
    <w:rsid w:val="00665AE0"/>
    <w:rsid w:val="006662F0"/>
    <w:rsid w:val="006669C1"/>
    <w:rsid w:val="00666FC6"/>
    <w:rsid w:val="00667015"/>
    <w:rsid w:val="00671615"/>
    <w:rsid w:val="0067199E"/>
    <w:rsid w:val="00671A3E"/>
    <w:rsid w:val="006729D9"/>
    <w:rsid w:val="0067349D"/>
    <w:rsid w:val="00674380"/>
    <w:rsid w:val="0067573B"/>
    <w:rsid w:val="00676172"/>
    <w:rsid w:val="0067698F"/>
    <w:rsid w:val="00677099"/>
    <w:rsid w:val="006773AA"/>
    <w:rsid w:val="00677E17"/>
    <w:rsid w:val="00680C8B"/>
    <w:rsid w:val="00681EBD"/>
    <w:rsid w:val="00681FF4"/>
    <w:rsid w:val="00683D5E"/>
    <w:rsid w:val="00685325"/>
    <w:rsid w:val="00685CA8"/>
    <w:rsid w:val="00685D9D"/>
    <w:rsid w:val="00692C5F"/>
    <w:rsid w:val="00693269"/>
    <w:rsid w:val="0069392B"/>
    <w:rsid w:val="00693AB1"/>
    <w:rsid w:val="00695418"/>
    <w:rsid w:val="006962A3"/>
    <w:rsid w:val="0069634F"/>
    <w:rsid w:val="00696749"/>
    <w:rsid w:val="006972ED"/>
    <w:rsid w:val="006A1F4E"/>
    <w:rsid w:val="006A28FC"/>
    <w:rsid w:val="006A2CD3"/>
    <w:rsid w:val="006A36F6"/>
    <w:rsid w:val="006A374C"/>
    <w:rsid w:val="006A3AC8"/>
    <w:rsid w:val="006A5479"/>
    <w:rsid w:val="006A589C"/>
    <w:rsid w:val="006A68CE"/>
    <w:rsid w:val="006B074A"/>
    <w:rsid w:val="006B0ED4"/>
    <w:rsid w:val="006B110F"/>
    <w:rsid w:val="006B122B"/>
    <w:rsid w:val="006B1ADC"/>
    <w:rsid w:val="006B1C58"/>
    <w:rsid w:val="006B2FF3"/>
    <w:rsid w:val="006B3964"/>
    <w:rsid w:val="006B4921"/>
    <w:rsid w:val="006B4F3A"/>
    <w:rsid w:val="006B4FC1"/>
    <w:rsid w:val="006B7010"/>
    <w:rsid w:val="006B7C07"/>
    <w:rsid w:val="006C0607"/>
    <w:rsid w:val="006C1557"/>
    <w:rsid w:val="006C46DD"/>
    <w:rsid w:val="006C479B"/>
    <w:rsid w:val="006C4964"/>
    <w:rsid w:val="006C5393"/>
    <w:rsid w:val="006C58FB"/>
    <w:rsid w:val="006C65D4"/>
    <w:rsid w:val="006C6824"/>
    <w:rsid w:val="006C7AEF"/>
    <w:rsid w:val="006C7E5B"/>
    <w:rsid w:val="006D00CD"/>
    <w:rsid w:val="006D0830"/>
    <w:rsid w:val="006D0936"/>
    <w:rsid w:val="006D0C98"/>
    <w:rsid w:val="006D1A36"/>
    <w:rsid w:val="006D1AE4"/>
    <w:rsid w:val="006D1CAC"/>
    <w:rsid w:val="006D374A"/>
    <w:rsid w:val="006D45D6"/>
    <w:rsid w:val="006D5942"/>
    <w:rsid w:val="006D770A"/>
    <w:rsid w:val="006E0DC1"/>
    <w:rsid w:val="006E1861"/>
    <w:rsid w:val="006E18A8"/>
    <w:rsid w:val="006E20B5"/>
    <w:rsid w:val="006E2671"/>
    <w:rsid w:val="006E278D"/>
    <w:rsid w:val="006E3F35"/>
    <w:rsid w:val="006E3F8B"/>
    <w:rsid w:val="006E47FA"/>
    <w:rsid w:val="006E5D6A"/>
    <w:rsid w:val="006E66CF"/>
    <w:rsid w:val="006E6F99"/>
    <w:rsid w:val="006E7658"/>
    <w:rsid w:val="006E7D6F"/>
    <w:rsid w:val="006E7ECD"/>
    <w:rsid w:val="006F1092"/>
    <w:rsid w:val="006F10EF"/>
    <w:rsid w:val="006F2706"/>
    <w:rsid w:val="006F2D65"/>
    <w:rsid w:val="006F320C"/>
    <w:rsid w:val="006F3768"/>
    <w:rsid w:val="006F49F1"/>
    <w:rsid w:val="006F5794"/>
    <w:rsid w:val="00700BF1"/>
    <w:rsid w:val="00701017"/>
    <w:rsid w:val="007018B3"/>
    <w:rsid w:val="00701BE5"/>
    <w:rsid w:val="0070323F"/>
    <w:rsid w:val="0070370F"/>
    <w:rsid w:val="00703A67"/>
    <w:rsid w:val="00704454"/>
    <w:rsid w:val="00705EA4"/>
    <w:rsid w:val="00706845"/>
    <w:rsid w:val="00710497"/>
    <w:rsid w:val="00710BF1"/>
    <w:rsid w:val="00710EAB"/>
    <w:rsid w:val="007111C1"/>
    <w:rsid w:val="007117C1"/>
    <w:rsid w:val="007128AB"/>
    <w:rsid w:val="00712C6B"/>
    <w:rsid w:val="00713578"/>
    <w:rsid w:val="00713ABA"/>
    <w:rsid w:val="00714E4C"/>
    <w:rsid w:val="007151F3"/>
    <w:rsid w:val="007158AA"/>
    <w:rsid w:val="00715FD7"/>
    <w:rsid w:val="00717AFA"/>
    <w:rsid w:val="00722778"/>
    <w:rsid w:val="007230F7"/>
    <w:rsid w:val="00723AE8"/>
    <w:rsid w:val="00723C61"/>
    <w:rsid w:val="00726128"/>
    <w:rsid w:val="007266FF"/>
    <w:rsid w:val="007267BE"/>
    <w:rsid w:val="00727F48"/>
    <w:rsid w:val="007300AA"/>
    <w:rsid w:val="00730F22"/>
    <w:rsid w:val="007315C0"/>
    <w:rsid w:val="007319F0"/>
    <w:rsid w:val="00732B7F"/>
    <w:rsid w:val="0073312C"/>
    <w:rsid w:val="007337CF"/>
    <w:rsid w:val="00734F41"/>
    <w:rsid w:val="0073640F"/>
    <w:rsid w:val="00737800"/>
    <w:rsid w:val="0074028B"/>
    <w:rsid w:val="007406C3"/>
    <w:rsid w:val="00742A1A"/>
    <w:rsid w:val="00742A87"/>
    <w:rsid w:val="00743781"/>
    <w:rsid w:val="00744218"/>
    <w:rsid w:val="00745AD2"/>
    <w:rsid w:val="00746835"/>
    <w:rsid w:val="00746A09"/>
    <w:rsid w:val="00746B26"/>
    <w:rsid w:val="0074700D"/>
    <w:rsid w:val="00747814"/>
    <w:rsid w:val="007504A3"/>
    <w:rsid w:val="007519E5"/>
    <w:rsid w:val="007535CA"/>
    <w:rsid w:val="00753895"/>
    <w:rsid w:val="00753935"/>
    <w:rsid w:val="00753FDC"/>
    <w:rsid w:val="00754F53"/>
    <w:rsid w:val="0075536A"/>
    <w:rsid w:val="00755AB3"/>
    <w:rsid w:val="00756CE4"/>
    <w:rsid w:val="0075711D"/>
    <w:rsid w:val="00757D4A"/>
    <w:rsid w:val="007607DD"/>
    <w:rsid w:val="00760BAF"/>
    <w:rsid w:val="007613CE"/>
    <w:rsid w:val="007622CD"/>
    <w:rsid w:val="00762524"/>
    <w:rsid w:val="00762567"/>
    <w:rsid w:val="007627FB"/>
    <w:rsid w:val="007628CF"/>
    <w:rsid w:val="0076307B"/>
    <w:rsid w:val="0076321D"/>
    <w:rsid w:val="00763C1F"/>
    <w:rsid w:val="00765C6C"/>
    <w:rsid w:val="007661B9"/>
    <w:rsid w:val="00766249"/>
    <w:rsid w:val="007664F5"/>
    <w:rsid w:val="00766E5F"/>
    <w:rsid w:val="00766F71"/>
    <w:rsid w:val="00772099"/>
    <w:rsid w:val="007727D4"/>
    <w:rsid w:val="00772959"/>
    <w:rsid w:val="00773BBA"/>
    <w:rsid w:val="00773DE4"/>
    <w:rsid w:val="007767F7"/>
    <w:rsid w:val="00776851"/>
    <w:rsid w:val="00776A9D"/>
    <w:rsid w:val="00776B25"/>
    <w:rsid w:val="0078159D"/>
    <w:rsid w:val="007817A5"/>
    <w:rsid w:val="00782DD2"/>
    <w:rsid w:val="00782EE0"/>
    <w:rsid w:val="00785E1F"/>
    <w:rsid w:val="00785F93"/>
    <w:rsid w:val="0078635F"/>
    <w:rsid w:val="0078682B"/>
    <w:rsid w:val="007870A5"/>
    <w:rsid w:val="00787C3C"/>
    <w:rsid w:val="00787DE1"/>
    <w:rsid w:val="00787EA0"/>
    <w:rsid w:val="007909F3"/>
    <w:rsid w:val="0079172A"/>
    <w:rsid w:val="007935F4"/>
    <w:rsid w:val="007936C6"/>
    <w:rsid w:val="00795C7B"/>
    <w:rsid w:val="00797500"/>
    <w:rsid w:val="007977EB"/>
    <w:rsid w:val="00797CAE"/>
    <w:rsid w:val="007A0FF2"/>
    <w:rsid w:val="007A1E40"/>
    <w:rsid w:val="007A2567"/>
    <w:rsid w:val="007A269C"/>
    <w:rsid w:val="007A39C8"/>
    <w:rsid w:val="007A5205"/>
    <w:rsid w:val="007A53A5"/>
    <w:rsid w:val="007A5906"/>
    <w:rsid w:val="007A5FD7"/>
    <w:rsid w:val="007A6C69"/>
    <w:rsid w:val="007B0656"/>
    <w:rsid w:val="007B06E6"/>
    <w:rsid w:val="007B1E83"/>
    <w:rsid w:val="007B1F0A"/>
    <w:rsid w:val="007B3515"/>
    <w:rsid w:val="007B3C6A"/>
    <w:rsid w:val="007B437F"/>
    <w:rsid w:val="007B59E1"/>
    <w:rsid w:val="007B717A"/>
    <w:rsid w:val="007B71ED"/>
    <w:rsid w:val="007B7835"/>
    <w:rsid w:val="007B79B7"/>
    <w:rsid w:val="007C0FB4"/>
    <w:rsid w:val="007C42CE"/>
    <w:rsid w:val="007C487A"/>
    <w:rsid w:val="007C6291"/>
    <w:rsid w:val="007C7E21"/>
    <w:rsid w:val="007D0A4C"/>
    <w:rsid w:val="007D4F96"/>
    <w:rsid w:val="007D5EA9"/>
    <w:rsid w:val="007D7C1E"/>
    <w:rsid w:val="007E071F"/>
    <w:rsid w:val="007E1A44"/>
    <w:rsid w:val="007E1B5F"/>
    <w:rsid w:val="007E2139"/>
    <w:rsid w:val="007E2B09"/>
    <w:rsid w:val="007E3871"/>
    <w:rsid w:val="007E3F63"/>
    <w:rsid w:val="007E4C8C"/>
    <w:rsid w:val="007E601C"/>
    <w:rsid w:val="007E7AF5"/>
    <w:rsid w:val="007F1A3F"/>
    <w:rsid w:val="007F1F7D"/>
    <w:rsid w:val="007F297E"/>
    <w:rsid w:val="007F2AD7"/>
    <w:rsid w:val="007F45B5"/>
    <w:rsid w:val="007F4FA3"/>
    <w:rsid w:val="007F68EB"/>
    <w:rsid w:val="007F73F7"/>
    <w:rsid w:val="0080065D"/>
    <w:rsid w:val="008013B5"/>
    <w:rsid w:val="00802D9E"/>
    <w:rsid w:val="00803942"/>
    <w:rsid w:val="0080544F"/>
    <w:rsid w:val="00805918"/>
    <w:rsid w:val="00805D9C"/>
    <w:rsid w:val="00805E78"/>
    <w:rsid w:val="00805EC4"/>
    <w:rsid w:val="0080637C"/>
    <w:rsid w:val="00810E76"/>
    <w:rsid w:val="0081151D"/>
    <w:rsid w:val="008120A5"/>
    <w:rsid w:val="00812442"/>
    <w:rsid w:val="0081285F"/>
    <w:rsid w:val="00813EFD"/>
    <w:rsid w:val="00817345"/>
    <w:rsid w:val="008201BF"/>
    <w:rsid w:val="00820E3F"/>
    <w:rsid w:val="008216CA"/>
    <w:rsid w:val="008224F7"/>
    <w:rsid w:val="00822E47"/>
    <w:rsid w:val="008234B1"/>
    <w:rsid w:val="008236F5"/>
    <w:rsid w:val="008239B5"/>
    <w:rsid w:val="00823C9E"/>
    <w:rsid w:val="00824228"/>
    <w:rsid w:val="008268CB"/>
    <w:rsid w:val="0082715D"/>
    <w:rsid w:val="0082733A"/>
    <w:rsid w:val="008275A7"/>
    <w:rsid w:val="00830975"/>
    <w:rsid w:val="00830FE0"/>
    <w:rsid w:val="008319DB"/>
    <w:rsid w:val="00831BF4"/>
    <w:rsid w:val="00831E73"/>
    <w:rsid w:val="00831E77"/>
    <w:rsid w:val="00831E7A"/>
    <w:rsid w:val="00835092"/>
    <w:rsid w:val="0083614F"/>
    <w:rsid w:val="00836581"/>
    <w:rsid w:val="0083711E"/>
    <w:rsid w:val="008373BF"/>
    <w:rsid w:val="00837CC9"/>
    <w:rsid w:val="0084013C"/>
    <w:rsid w:val="00840677"/>
    <w:rsid w:val="00841FF0"/>
    <w:rsid w:val="008423B3"/>
    <w:rsid w:val="00843209"/>
    <w:rsid w:val="0084394B"/>
    <w:rsid w:val="0084398E"/>
    <w:rsid w:val="008439B0"/>
    <w:rsid w:val="00843EEF"/>
    <w:rsid w:val="00845D54"/>
    <w:rsid w:val="00846B8C"/>
    <w:rsid w:val="008501CC"/>
    <w:rsid w:val="0085375B"/>
    <w:rsid w:val="00853F37"/>
    <w:rsid w:val="00855391"/>
    <w:rsid w:val="00855536"/>
    <w:rsid w:val="00855805"/>
    <w:rsid w:val="00855CC6"/>
    <w:rsid w:val="0085615A"/>
    <w:rsid w:val="00856D30"/>
    <w:rsid w:val="00857AB2"/>
    <w:rsid w:val="008605BD"/>
    <w:rsid w:val="00860A66"/>
    <w:rsid w:val="00860B57"/>
    <w:rsid w:val="0086258B"/>
    <w:rsid w:val="008640EB"/>
    <w:rsid w:val="0086599F"/>
    <w:rsid w:val="00866241"/>
    <w:rsid w:val="00866F52"/>
    <w:rsid w:val="00866F9B"/>
    <w:rsid w:val="00867115"/>
    <w:rsid w:val="00870236"/>
    <w:rsid w:val="00870EF3"/>
    <w:rsid w:val="00871D33"/>
    <w:rsid w:val="00872512"/>
    <w:rsid w:val="00873B91"/>
    <w:rsid w:val="008747B7"/>
    <w:rsid w:val="00875970"/>
    <w:rsid w:val="00875B88"/>
    <w:rsid w:val="00875C5B"/>
    <w:rsid w:val="00875C63"/>
    <w:rsid w:val="0087655D"/>
    <w:rsid w:val="00877077"/>
    <w:rsid w:val="00877242"/>
    <w:rsid w:val="00880D87"/>
    <w:rsid w:val="0088246D"/>
    <w:rsid w:val="00882A58"/>
    <w:rsid w:val="008830BF"/>
    <w:rsid w:val="00883C98"/>
    <w:rsid w:val="00885088"/>
    <w:rsid w:val="00885E9F"/>
    <w:rsid w:val="00886BD5"/>
    <w:rsid w:val="00887E1D"/>
    <w:rsid w:val="00890A84"/>
    <w:rsid w:val="00891B64"/>
    <w:rsid w:val="00891E47"/>
    <w:rsid w:val="00892805"/>
    <w:rsid w:val="0089303F"/>
    <w:rsid w:val="00893C91"/>
    <w:rsid w:val="008941FF"/>
    <w:rsid w:val="00894452"/>
    <w:rsid w:val="00895358"/>
    <w:rsid w:val="00895BE9"/>
    <w:rsid w:val="00896215"/>
    <w:rsid w:val="00896A5E"/>
    <w:rsid w:val="008974D1"/>
    <w:rsid w:val="008A0C47"/>
    <w:rsid w:val="008A13AE"/>
    <w:rsid w:val="008A13B5"/>
    <w:rsid w:val="008A1555"/>
    <w:rsid w:val="008A19F2"/>
    <w:rsid w:val="008A3123"/>
    <w:rsid w:val="008A3FE6"/>
    <w:rsid w:val="008A45E2"/>
    <w:rsid w:val="008A4D61"/>
    <w:rsid w:val="008A5463"/>
    <w:rsid w:val="008A5DC0"/>
    <w:rsid w:val="008A654D"/>
    <w:rsid w:val="008B060A"/>
    <w:rsid w:val="008B0D44"/>
    <w:rsid w:val="008B20A6"/>
    <w:rsid w:val="008B2514"/>
    <w:rsid w:val="008B25A3"/>
    <w:rsid w:val="008B2ACA"/>
    <w:rsid w:val="008B30D6"/>
    <w:rsid w:val="008B3357"/>
    <w:rsid w:val="008B3925"/>
    <w:rsid w:val="008B3B77"/>
    <w:rsid w:val="008B3E50"/>
    <w:rsid w:val="008B4CB3"/>
    <w:rsid w:val="008B56E7"/>
    <w:rsid w:val="008B7F05"/>
    <w:rsid w:val="008C01FE"/>
    <w:rsid w:val="008C0D64"/>
    <w:rsid w:val="008C15BC"/>
    <w:rsid w:val="008C2F96"/>
    <w:rsid w:val="008C46FC"/>
    <w:rsid w:val="008C674E"/>
    <w:rsid w:val="008C70EF"/>
    <w:rsid w:val="008C7463"/>
    <w:rsid w:val="008C77F3"/>
    <w:rsid w:val="008D2230"/>
    <w:rsid w:val="008D287E"/>
    <w:rsid w:val="008D2B8E"/>
    <w:rsid w:val="008D3293"/>
    <w:rsid w:val="008D37C6"/>
    <w:rsid w:val="008D4CE2"/>
    <w:rsid w:val="008D52FF"/>
    <w:rsid w:val="008D5841"/>
    <w:rsid w:val="008D5A6B"/>
    <w:rsid w:val="008D5FEE"/>
    <w:rsid w:val="008E00D9"/>
    <w:rsid w:val="008E19B5"/>
    <w:rsid w:val="008E1EFB"/>
    <w:rsid w:val="008E28F4"/>
    <w:rsid w:val="008E3541"/>
    <w:rsid w:val="008E39A8"/>
    <w:rsid w:val="008E3F6D"/>
    <w:rsid w:val="008E5121"/>
    <w:rsid w:val="008E5876"/>
    <w:rsid w:val="008E6198"/>
    <w:rsid w:val="008E7582"/>
    <w:rsid w:val="008F021B"/>
    <w:rsid w:val="008F13F7"/>
    <w:rsid w:val="008F1E5B"/>
    <w:rsid w:val="008F2BAB"/>
    <w:rsid w:val="008F4007"/>
    <w:rsid w:val="008F46C9"/>
    <w:rsid w:val="008F5272"/>
    <w:rsid w:val="008F5C42"/>
    <w:rsid w:val="008F5C61"/>
    <w:rsid w:val="008F6BBD"/>
    <w:rsid w:val="008F6E79"/>
    <w:rsid w:val="008F6FF1"/>
    <w:rsid w:val="008F70EE"/>
    <w:rsid w:val="00900A96"/>
    <w:rsid w:val="00901D18"/>
    <w:rsid w:val="0090274C"/>
    <w:rsid w:val="00903521"/>
    <w:rsid w:val="00904BBC"/>
    <w:rsid w:val="009060C0"/>
    <w:rsid w:val="009064BD"/>
    <w:rsid w:val="00906660"/>
    <w:rsid w:val="00906DCF"/>
    <w:rsid w:val="00907199"/>
    <w:rsid w:val="009071DC"/>
    <w:rsid w:val="00910171"/>
    <w:rsid w:val="00910753"/>
    <w:rsid w:val="00910E76"/>
    <w:rsid w:val="0091135A"/>
    <w:rsid w:val="00911BDA"/>
    <w:rsid w:val="00911EEF"/>
    <w:rsid w:val="00911EF6"/>
    <w:rsid w:val="0091238B"/>
    <w:rsid w:val="00912A5D"/>
    <w:rsid w:val="00912E33"/>
    <w:rsid w:val="0091339A"/>
    <w:rsid w:val="00914F5A"/>
    <w:rsid w:val="0091526F"/>
    <w:rsid w:val="009203EA"/>
    <w:rsid w:val="009206C3"/>
    <w:rsid w:val="0092090A"/>
    <w:rsid w:val="00920A18"/>
    <w:rsid w:val="00921555"/>
    <w:rsid w:val="00921948"/>
    <w:rsid w:val="00925A67"/>
    <w:rsid w:val="009266A8"/>
    <w:rsid w:val="00926D3F"/>
    <w:rsid w:val="00927019"/>
    <w:rsid w:val="00927C99"/>
    <w:rsid w:val="00930086"/>
    <w:rsid w:val="0093118E"/>
    <w:rsid w:val="00931329"/>
    <w:rsid w:val="009325BD"/>
    <w:rsid w:val="00932632"/>
    <w:rsid w:val="009332CB"/>
    <w:rsid w:val="00933C45"/>
    <w:rsid w:val="0093410C"/>
    <w:rsid w:val="009346CB"/>
    <w:rsid w:val="00936905"/>
    <w:rsid w:val="00936C8E"/>
    <w:rsid w:val="009405A7"/>
    <w:rsid w:val="00941BC7"/>
    <w:rsid w:val="009421A0"/>
    <w:rsid w:val="00944539"/>
    <w:rsid w:val="0094655C"/>
    <w:rsid w:val="0095072F"/>
    <w:rsid w:val="0095109A"/>
    <w:rsid w:val="00954972"/>
    <w:rsid w:val="00955418"/>
    <w:rsid w:val="00955938"/>
    <w:rsid w:val="0095616C"/>
    <w:rsid w:val="0095714C"/>
    <w:rsid w:val="00961A2F"/>
    <w:rsid w:val="00961F93"/>
    <w:rsid w:val="009620EE"/>
    <w:rsid w:val="00963E13"/>
    <w:rsid w:val="00964B6B"/>
    <w:rsid w:val="009662A4"/>
    <w:rsid w:val="009676F4"/>
    <w:rsid w:val="00967D37"/>
    <w:rsid w:val="009701ED"/>
    <w:rsid w:val="00970D4B"/>
    <w:rsid w:val="009713DE"/>
    <w:rsid w:val="00971701"/>
    <w:rsid w:val="00973B27"/>
    <w:rsid w:val="00973EBA"/>
    <w:rsid w:val="009740F2"/>
    <w:rsid w:val="009744B3"/>
    <w:rsid w:val="00975453"/>
    <w:rsid w:val="00975574"/>
    <w:rsid w:val="009760EE"/>
    <w:rsid w:val="00976280"/>
    <w:rsid w:val="00976678"/>
    <w:rsid w:val="00977916"/>
    <w:rsid w:val="00980E44"/>
    <w:rsid w:val="00981186"/>
    <w:rsid w:val="009825EA"/>
    <w:rsid w:val="009828F1"/>
    <w:rsid w:val="009845BE"/>
    <w:rsid w:val="00984EA3"/>
    <w:rsid w:val="00987757"/>
    <w:rsid w:val="009911C4"/>
    <w:rsid w:val="00992189"/>
    <w:rsid w:val="009932AE"/>
    <w:rsid w:val="00993D4C"/>
    <w:rsid w:val="00993FE5"/>
    <w:rsid w:val="00994199"/>
    <w:rsid w:val="0099500B"/>
    <w:rsid w:val="009960F4"/>
    <w:rsid w:val="009968D7"/>
    <w:rsid w:val="00997218"/>
    <w:rsid w:val="00997776"/>
    <w:rsid w:val="009A01A1"/>
    <w:rsid w:val="009A02B7"/>
    <w:rsid w:val="009A1436"/>
    <w:rsid w:val="009A2658"/>
    <w:rsid w:val="009A28EF"/>
    <w:rsid w:val="009A4BBB"/>
    <w:rsid w:val="009A4D7F"/>
    <w:rsid w:val="009A5E78"/>
    <w:rsid w:val="009A68BA"/>
    <w:rsid w:val="009A790C"/>
    <w:rsid w:val="009A7B8D"/>
    <w:rsid w:val="009B0ECB"/>
    <w:rsid w:val="009B1256"/>
    <w:rsid w:val="009B1AA3"/>
    <w:rsid w:val="009B1AC5"/>
    <w:rsid w:val="009B24A1"/>
    <w:rsid w:val="009B274E"/>
    <w:rsid w:val="009B3760"/>
    <w:rsid w:val="009B3CA6"/>
    <w:rsid w:val="009B3DC3"/>
    <w:rsid w:val="009B5A60"/>
    <w:rsid w:val="009B776B"/>
    <w:rsid w:val="009C1B56"/>
    <w:rsid w:val="009C1F28"/>
    <w:rsid w:val="009C2E03"/>
    <w:rsid w:val="009C3944"/>
    <w:rsid w:val="009C3DC8"/>
    <w:rsid w:val="009C40B8"/>
    <w:rsid w:val="009C52B1"/>
    <w:rsid w:val="009C5D8A"/>
    <w:rsid w:val="009C64DA"/>
    <w:rsid w:val="009C6DAB"/>
    <w:rsid w:val="009C7997"/>
    <w:rsid w:val="009D01F5"/>
    <w:rsid w:val="009D06F0"/>
    <w:rsid w:val="009D0CEE"/>
    <w:rsid w:val="009D0F42"/>
    <w:rsid w:val="009D1355"/>
    <w:rsid w:val="009D1811"/>
    <w:rsid w:val="009D2D41"/>
    <w:rsid w:val="009D388C"/>
    <w:rsid w:val="009D3B82"/>
    <w:rsid w:val="009D41E9"/>
    <w:rsid w:val="009D4C4D"/>
    <w:rsid w:val="009D4F6C"/>
    <w:rsid w:val="009D5C2C"/>
    <w:rsid w:val="009D63B7"/>
    <w:rsid w:val="009E024C"/>
    <w:rsid w:val="009E0A26"/>
    <w:rsid w:val="009E0F90"/>
    <w:rsid w:val="009E248A"/>
    <w:rsid w:val="009E3402"/>
    <w:rsid w:val="009E4782"/>
    <w:rsid w:val="009E4A94"/>
    <w:rsid w:val="009E6CAF"/>
    <w:rsid w:val="009E7715"/>
    <w:rsid w:val="009F08CD"/>
    <w:rsid w:val="009F0CEE"/>
    <w:rsid w:val="009F0E01"/>
    <w:rsid w:val="009F14F4"/>
    <w:rsid w:val="009F183A"/>
    <w:rsid w:val="009F1CC0"/>
    <w:rsid w:val="009F2130"/>
    <w:rsid w:val="009F22BB"/>
    <w:rsid w:val="009F273A"/>
    <w:rsid w:val="009F309F"/>
    <w:rsid w:val="009F3873"/>
    <w:rsid w:val="009F42AB"/>
    <w:rsid w:val="009F4546"/>
    <w:rsid w:val="009F4AF8"/>
    <w:rsid w:val="009F51BC"/>
    <w:rsid w:val="009F5371"/>
    <w:rsid w:val="009F64F1"/>
    <w:rsid w:val="00A02A06"/>
    <w:rsid w:val="00A049E0"/>
    <w:rsid w:val="00A04C65"/>
    <w:rsid w:val="00A04F3F"/>
    <w:rsid w:val="00A056F7"/>
    <w:rsid w:val="00A05B8A"/>
    <w:rsid w:val="00A05DC7"/>
    <w:rsid w:val="00A06ABD"/>
    <w:rsid w:val="00A10D32"/>
    <w:rsid w:val="00A11914"/>
    <w:rsid w:val="00A11F21"/>
    <w:rsid w:val="00A12A57"/>
    <w:rsid w:val="00A1312C"/>
    <w:rsid w:val="00A146EA"/>
    <w:rsid w:val="00A14834"/>
    <w:rsid w:val="00A14DD1"/>
    <w:rsid w:val="00A1578E"/>
    <w:rsid w:val="00A15B89"/>
    <w:rsid w:val="00A1798A"/>
    <w:rsid w:val="00A21F7E"/>
    <w:rsid w:val="00A24F31"/>
    <w:rsid w:val="00A270E0"/>
    <w:rsid w:val="00A27599"/>
    <w:rsid w:val="00A305F4"/>
    <w:rsid w:val="00A31143"/>
    <w:rsid w:val="00A31E3C"/>
    <w:rsid w:val="00A33762"/>
    <w:rsid w:val="00A3435F"/>
    <w:rsid w:val="00A34F29"/>
    <w:rsid w:val="00A35E87"/>
    <w:rsid w:val="00A35F2D"/>
    <w:rsid w:val="00A36A1F"/>
    <w:rsid w:val="00A37477"/>
    <w:rsid w:val="00A405B8"/>
    <w:rsid w:val="00A4104A"/>
    <w:rsid w:val="00A418AA"/>
    <w:rsid w:val="00A41B03"/>
    <w:rsid w:val="00A435BE"/>
    <w:rsid w:val="00A4449F"/>
    <w:rsid w:val="00A455CF"/>
    <w:rsid w:val="00A45FA8"/>
    <w:rsid w:val="00A46985"/>
    <w:rsid w:val="00A46FE0"/>
    <w:rsid w:val="00A4749C"/>
    <w:rsid w:val="00A47F8D"/>
    <w:rsid w:val="00A50FFC"/>
    <w:rsid w:val="00A525D7"/>
    <w:rsid w:val="00A52B17"/>
    <w:rsid w:val="00A52D85"/>
    <w:rsid w:val="00A53740"/>
    <w:rsid w:val="00A54663"/>
    <w:rsid w:val="00A5466A"/>
    <w:rsid w:val="00A54FC0"/>
    <w:rsid w:val="00A57A61"/>
    <w:rsid w:val="00A57FF5"/>
    <w:rsid w:val="00A605D3"/>
    <w:rsid w:val="00A61DF0"/>
    <w:rsid w:val="00A6273E"/>
    <w:rsid w:val="00A62B22"/>
    <w:rsid w:val="00A638F5"/>
    <w:rsid w:val="00A63C93"/>
    <w:rsid w:val="00A64361"/>
    <w:rsid w:val="00A64A04"/>
    <w:rsid w:val="00A65488"/>
    <w:rsid w:val="00A665A5"/>
    <w:rsid w:val="00A7099C"/>
    <w:rsid w:val="00A70BCC"/>
    <w:rsid w:val="00A714FB"/>
    <w:rsid w:val="00A71EA2"/>
    <w:rsid w:val="00A72FE9"/>
    <w:rsid w:val="00A7436F"/>
    <w:rsid w:val="00A748E9"/>
    <w:rsid w:val="00A74A9E"/>
    <w:rsid w:val="00A75DCF"/>
    <w:rsid w:val="00A77013"/>
    <w:rsid w:val="00A77133"/>
    <w:rsid w:val="00A77BBC"/>
    <w:rsid w:val="00A8094C"/>
    <w:rsid w:val="00A81C15"/>
    <w:rsid w:val="00A828F5"/>
    <w:rsid w:val="00A83109"/>
    <w:rsid w:val="00A8315E"/>
    <w:rsid w:val="00A83592"/>
    <w:rsid w:val="00A8393E"/>
    <w:rsid w:val="00A84DC1"/>
    <w:rsid w:val="00A84F9F"/>
    <w:rsid w:val="00A861DA"/>
    <w:rsid w:val="00A8638C"/>
    <w:rsid w:val="00A86849"/>
    <w:rsid w:val="00A8755C"/>
    <w:rsid w:val="00A87EDF"/>
    <w:rsid w:val="00A90C4E"/>
    <w:rsid w:val="00A91503"/>
    <w:rsid w:val="00A93B42"/>
    <w:rsid w:val="00A93E42"/>
    <w:rsid w:val="00A95592"/>
    <w:rsid w:val="00A95F7F"/>
    <w:rsid w:val="00A96892"/>
    <w:rsid w:val="00A9796E"/>
    <w:rsid w:val="00A97FED"/>
    <w:rsid w:val="00AA0319"/>
    <w:rsid w:val="00AA0B62"/>
    <w:rsid w:val="00AA1650"/>
    <w:rsid w:val="00AA19DB"/>
    <w:rsid w:val="00AA368B"/>
    <w:rsid w:val="00AA36FB"/>
    <w:rsid w:val="00AA3DBC"/>
    <w:rsid w:val="00AA4AA5"/>
    <w:rsid w:val="00AA5B30"/>
    <w:rsid w:val="00AA649E"/>
    <w:rsid w:val="00AA7769"/>
    <w:rsid w:val="00AB041B"/>
    <w:rsid w:val="00AB0557"/>
    <w:rsid w:val="00AB08F2"/>
    <w:rsid w:val="00AB1062"/>
    <w:rsid w:val="00AB12D9"/>
    <w:rsid w:val="00AB1B56"/>
    <w:rsid w:val="00AB1CBF"/>
    <w:rsid w:val="00AB2231"/>
    <w:rsid w:val="00AB2DC1"/>
    <w:rsid w:val="00AB6324"/>
    <w:rsid w:val="00AB6987"/>
    <w:rsid w:val="00AB7915"/>
    <w:rsid w:val="00AC04DD"/>
    <w:rsid w:val="00AC111D"/>
    <w:rsid w:val="00AC1357"/>
    <w:rsid w:val="00AC18C2"/>
    <w:rsid w:val="00AC268D"/>
    <w:rsid w:val="00AC312E"/>
    <w:rsid w:val="00AC3669"/>
    <w:rsid w:val="00AC5622"/>
    <w:rsid w:val="00AC59C6"/>
    <w:rsid w:val="00AC66FC"/>
    <w:rsid w:val="00AC7361"/>
    <w:rsid w:val="00AC7CF6"/>
    <w:rsid w:val="00AD0A41"/>
    <w:rsid w:val="00AD1763"/>
    <w:rsid w:val="00AD1B6E"/>
    <w:rsid w:val="00AD22FF"/>
    <w:rsid w:val="00AD2A93"/>
    <w:rsid w:val="00AD3240"/>
    <w:rsid w:val="00AD4844"/>
    <w:rsid w:val="00AD5068"/>
    <w:rsid w:val="00AD5624"/>
    <w:rsid w:val="00AD7B20"/>
    <w:rsid w:val="00AE0AEA"/>
    <w:rsid w:val="00AE1A3F"/>
    <w:rsid w:val="00AE2CAC"/>
    <w:rsid w:val="00AE2D78"/>
    <w:rsid w:val="00AE360B"/>
    <w:rsid w:val="00AE57C9"/>
    <w:rsid w:val="00AE5D04"/>
    <w:rsid w:val="00AE5E59"/>
    <w:rsid w:val="00AE6A3D"/>
    <w:rsid w:val="00AE7451"/>
    <w:rsid w:val="00AE76E1"/>
    <w:rsid w:val="00AE784C"/>
    <w:rsid w:val="00AE7E92"/>
    <w:rsid w:val="00AF0089"/>
    <w:rsid w:val="00AF023D"/>
    <w:rsid w:val="00AF11B7"/>
    <w:rsid w:val="00AF28E0"/>
    <w:rsid w:val="00AF405F"/>
    <w:rsid w:val="00AF4675"/>
    <w:rsid w:val="00AF4CE3"/>
    <w:rsid w:val="00AF5B90"/>
    <w:rsid w:val="00AF668D"/>
    <w:rsid w:val="00AF7032"/>
    <w:rsid w:val="00AF72ED"/>
    <w:rsid w:val="00AF7B9E"/>
    <w:rsid w:val="00B005FD"/>
    <w:rsid w:val="00B00DA2"/>
    <w:rsid w:val="00B025BB"/>
    <w:rsid w:val="00B0269F"/>
    <w:rsid w:val="00B04194"/>
    <w:rsid w:val="00B04404"/>
    <w:rsid w:val="00B04586"/>
    <w:rsid w:val="00B04F74"/>
    <w:rsid w:val="00B05025"/>
    <w:rsid w:val="00B05565"/>
    <w:rsid w:val="00B05626"/>
    <w:rsid w:val="00B0639D"/>
    <w:rsid w:val="00B07707"/>
    <w:rsid w:val="00B07818"/>
    <w:rsid w:val="00B07F3A"/>
    <w:rsid w:val="00B108CB"/>
    <w:rsid w:val="00B11277"/>
    <w:rsid w:val="00B1226F"/>
    <w:rsid w:val="00B12329"/>
    <w:rsid w:val="00B124F1"/>
    <w:rsid w:val="00B12781"/>
    <w:rsid w:val="00B12CA7"/>
    <w:rsid w:val="00B13C37"/>
    <w:rsid w:val="00B14B5C"/>
    <w:rsid w:val="00B15481"/>
    <w:rsid w:val="00B16643"/>
    <w:rsid w:val="00B17B3B"/>
    <w:rsid w:val="00B2129E"/>
    <w:rsid w:val="00B219D6"/>
    <w:rsid w:val="00B21CB5"/>
    <w:rsid w:val="00B21D5B"/>
    <w:rsid w:val="00B2222B"/>
    <w:rsid w:val="00B22C21"/>
    <w:rsid w:val="00B307EB"/>
    <w:rsid w:val="00B32462"/>
    <w:rsid w:val="00B32688"/>
    <w:rsid w:val="00B32FD0"/>
    <w:rsid w:val="00B331B2"/>
    <w:rsid w:val="00B33A45"/>
    <w:rsid w:val="00B34A8C"/>
    <w:rsid w:val="00B35E28"/>
    <w:rsid w:val="00B37319"/>
    <w:rsid w:val="00B37E4A"/>
    <w:rsid w:val="00B40845"/>
    <w:rsid w:val="00B428B3"/>
    <w:rsid w:val="00B429E0"/>
    <w:rsid w:val="00B4320F"/>
    <w:rsid w:val="00B4377B"/>
    <w:rsid w:val="00B441EB"/>
    <w:rsid w:val="00B4462E"/>
    <w:rsid w:val="00B4463C"/>
    <w:rsid w:val="00B462A0"/>
    <w:rsid w:val="00B50BBE"/>
    <w:rsid w:val="00B513C6"/>
    <w:rsid w:val="00B52170"/>
    <w:rsid w:val="00B52CC7"/>
    <w:rsid w:val="00B52D8F"/>
    <w:rsid w:val="00B535B8"/>
    <w:rsid w:val="00B537D7"/>
    <w:rsid w:val="00B53A3A"/>
    <w:rsid w:val="00B5493D"/>
    <w:rsid w:val="00B55EB3"/>
    <w:rsid w:val="00B567C6"/>
    <w:rsid w:val="00B60106"/>
    <w:rsid w:val="00B62888"/>
    <w:rsid w:val="00B635B4"/>
    <w:rsid w:val="00B63A75"/>
    <w:rsid w:val="00B63B47"/>
    <w:rsid w:val="00B63EA2"/>
    <w:rsid w:val="00B64714"/>
    <w:rsid w:val="00B6535A"/>
    <w:rsid w:val="00B6653A"/>
    <w:rsid w:val="00B6725E"/>
    <w:rsid w:val="00B71727"/>
    <w:rsid w:val="00B71D34"/>
    <w:rsid w:val="00B72BBB"/>
    <w:rsid w:val="00B72DB6"/>
    <w:rsid w:val="00B731B2"/>
    <w:rsid w:val="00B74DBB"/>
    <w:rsid w:val="00B75D0B"/>
    <w:rsid w:val="00B75FA7"/>
    <w:rsid w:val="00B808AD"/>
    <w:rsid w:val="00B814E4"/>
    <w:rsid w:val="00B8171D"/>
    <w:rsid w:val="00B81A11"/>
    <w:rsid w:val="00B825F8"/>
    <w:rsid w:val="00B82F1A"/>
    <w:rsid w:val="00B83AB7"/>
    <w:rsid w:val="00B850F4"/>
    <w:rsid w:val="00B85F3E"/>
    <w:rsid w:val="00B8676C"/>
    <w:rsid w:val="00B87518"/>
    <w:rsid w:val="00B875BD"/>
    <w:rsid w:val="00B9090D"/>
    <w:rsid w:val="00B90984"/>
    <w:rsid w:val="00B909E5"/>
    <w:rsid w:val="00B90D64"/>
    <w:rsid w:val="00B91DB1"/>
    <w:rsid w:val="00B92395"/>
    <w:rsid w:val="00B92CCE"/>
    <w:rsid w:val="00B939C2"/>
    <w:rsid w:val="00B94E50"/>
    <w:rsid w:val="00B96EC2"/>
    <w:rsid w:val="00B97AF4"/>
    <w:rsid w:val="00BA0124"/>
    <w:rsid w:val="00BA048D"/>
    <w:rsid w:val="00BA14DF"/>
    <w:rsid w:val="00BA22BF"/>
    <w:rsid w:val="00BA4FB6"/>
    <w:rsid w:val="00BA55AB"/>
    <w:rsid w:val="00BA6688"/>
    <w:rsid w:val="00BA7D86"/>
    <w:rsid w:val="00BB1FF0"/>
    <w:rsid w:val="00BB2FE8"/>
    <w:rsid w:val="00BB31BD"/>
    <w:rsid w:val="00BB327E"/>
    <w:rsid w:val="00BB48E7"/>
    <w:rsid w:val="00BB559E"/>
    <w:rsid w:val="00BB55C6"/>
    <w:rsid w:val="00BB642B"/>
    <w:rsid w:val="00BB7FF0"/>
    <w:rsid w:val="00BC17C0"/>
    <w:rsid w:val="00BC187A"/>
    <w:rsid w:val="00BC259A"/>
    <w:rsid w:val="00BC45C1"/>
    <w:rsid w:val="00BC4955"/>
    <w:rsid w:val="00BC5227"/>
    <w:rsid w:val="00BC5660"/>
    <w:rsid w:val="00BC6320"/>
    <w:rsid w:val="00BC64A9"/>
    <w:rsid w:val="00BC69D6"/>
    <w:rsid w:val="00BC716A"/>
    <w:rsid w:val="00BC7529"/>
    <w:rsid w:val="00BC7F2A"/>
    <w:rsid w:val="00BD1083"/>
    <w:rsid w:val="00BD13B7"/>
    <w:rsid w:val="00BD14A1"/>
    <w:rsid w:val="00BD1F0C"/>
    <w:rsid w:val="00BD2564"/>
    <w:rsid w:val="00BD2E0C"/>
    <w:rsid w:val="00BD3426"/>
    <w:rsid w:val="00BD3C94"/>
    <w:rsid w:val="00BD3FDA"/>
    <w:rsid w:val="00BD4A4F"/>
    <w:rsid w:val="00BD4A9C"/>
    <w:rsid w:val="00BD5724"/>
    <w:rsid w:val="00BD5C3A"/>
    <w:rsid w:val="00BD6060"/>
    <w:rsid w:val="00BD6F70"/>
    <w:rsid w:val="00BE08AB"/>
    <w:rsid w:val="00BE347D"/>
    <w:rsid w:val="00BE35C8"/>
    <w:rsid w:val="00BE43DE"/>
    <w:rsid w:val="00BE7507"/>
    <w:rsid w:val="00BF14A0"/>
    <w:rsid w:val="00BF2572"/>
    <w:rsid w:val="00BF5A15"/>
    <w:rsid w:val="00BF5EBB"/>
    <w:rsid w:val="00BF6DC8"/>
    <w:rsid w:val="00C01C30"/>
    <w:rsid w:val="00C034A5"/>
    <w:rsid w:val="00C0482A"/>
    <w:rsid w:val="00C04BE3"/>
    <w:rsid w:val="00C04CA0"/>
    <w:rsid w:val="00C0627A"/>
    <w:rsid w:val="00C06D37"/>
    <w:rsid w:val="00C071E1"/>
    <w:rsid w:val="00C1000B"/>
    <w:rsid w:val="00C107F3"/>
    <w:rsid w:val="00C12CD5"/>
    <w:rsid w:val="00C16385"/>
    <w:rsid w:val="00C16C39"/>
    <w:rsid w:val="00C17A79"/>
    <w:rsid w:val="00C17EBB"/>
    <w:rsid w:val="00C211C9"/>
    <w:rsid w:val="00C22261"/>
    <w:rsid w:val="00C24411"/>
    <w:rsid w:val="00C24865"/>
    <w:rsid w:val="00C27030"/>
    <w:rsid w:val="00C3017C"/>
    <w:rsid w:val="00C30E69"/>
    <w:rsid w:val="00C30EAB"/>
    <w:rsid w:val="00C31F0D"/>
    <w:rsid w:val="00C33FDE"/>
    <w:rsid w:val="00C36586"/>
    <w:rsid w:val="00C37B98"/>
    <w:rsid w:val="00C37BAD"/>
    <w:rsid w:val="00C41C61"/>
    <w:rsid w:val="00C42336"/>
    <w:rsid w:val="00C4251E"/>
    <w:rsid w:val="00C426A6"/>
    <w:rsid w:val="00C42D73"/>
    <w:rsid w:val="00C4385E"/>
    <w:rsid w:val="00C43C07"/>
    <w:rsid w:val="00C445CF"/>
    <w:rsid w:val="00C446B1"/>
    <w:rsid w:val="00C4543C"/>
    <w:rsid w:val="00C45496"/>
    <w:rsid w:val="00C45822"/>
    <w:rsid w:val="00C468CC"/>
    <w:rsid w:val="00C4727A"/>
    <w:rsid w:val="00C47440"/>
    <w:rsid w:val="00C47E2E"/>
    <w:rsid w:val="00C50BCA"/>
    <w:rsid w:val="00C51EB7"/>
    <w:rsid w:val="00C53216"/>
    <w:rsid w:val="00C5446A"/>
    <w:rsid w:val="00C54E5D"/>
    <w:rsid w:val="00C55378"/>
    <w:rsid w:val="00C55950"/>
    <w:rsid w:val="00C55C84"/>
    <w:rsid w:val="00C56105"/>
    <w:rsid w:val="00C57150"/>
    <w:rsid w:val="00C572B6"/>
    <w:rsid w:val="00C603B5"/>
    <w:rsid w:val="00C61B76"/>
    <w:rsid w:val="00C631CA"/>
    <w:rsid w:val="00C63E30"/>
    <w:rsid w:val="00C649C5"/>
    <w:rsid w:val="00C64A18"/>
    <w:rsid w:val="00C664EC"/>
    <w:rsid w:val="00C7057B"/>
    <w:rsid w:val="00C70F2B"/>
    <w:rsid w:val="00C73378"/>
    <w:rsid w:val="00C75176"/>
    <w:rsid w:val="00C75210"/>
    <w:rsid w:val="00C75D3C"/>
    <w:rsid w:val="00C76396"/>
    <w:rsid w:val="00C76B95"/>
    <w:rsid w:val="00C77445"/>
    <w:rsid w:val="00C80DA9"/>
    <w:rsid w:val="00C80E38"/>
    <w:rsid w:val="00C81493"/>
    <w:rsid w:val="00C817C8"/>
    <w:rsid w:val="00C82DED"/>
    <w:rsid w:val="00C831C2"/>
    <w:rsid w:val="00C839B4"/>
    <w:rsid w:val="00C83BE7"/>
    <w:rsid w:val="00C84605"/>
    <w:rsid w:val="00C84780"/>
    <w:rsid w:val="00C85377"/>
    <w:rsid w:val="00C859E3"/>
    <w:rsid w:val="00C85DF1"/>
    <w:rsid w:val="00C872CC"/>
    <w:rsid w:val="00C9010E"/>
    <w:rsid w:val="00C915E1"/>
    <w:rsid w:val="00C91D07"/>
    <w:rsid w:val="00C928F1"/>
    <w:rsid w:val="00C9431A"/>
    <w:rsid w:val="00C9660F"/>
    <w:rsid w:val="00C96865"/>
    <w:rsid w:val="00C96D3D"/>
    <w:rsid w:val="00C976EC"/>
    <w:rsid w:val="00C97A9A"/>
    <w:rsid w:val="00CA0104"/>
    <w:rsid w:val="00CA15B2"/>
    <w:rsid w:val="00CA192D"/>
    <w:rsid w:val="00CA285E"/>
    <w:rsid w:val="00CA2CA4"/>
    <w:rsid w:val="00CA3322"/>
    <w:rsid w:val="00CA4037"/>
    <w:rsid w:val="00CA6E7A"/>
    <w:rsid w:val="00CA7079"/>
    <w:rsid w:val="00CA796F"/>
    <w:rsid w:val="00CB02C4"/>
    <w:rsid w:val="00CB0E39"/>
    <w:rsid w:val="00CB13B8"/>
    <w:rsid w:val="00CB21E9"/>
    <w:rsid w:val="00CB22C7"/>
    <w:rsid w:val="00CB580E"/>
    <w:rsid w:val="00CB6CED"/>
    <w:rsid w:val="00CB7649"/>
    <w:rsid w:val="00CB7673"/>
    <w:rsid w:val="00CB7B06"/>
    <w:rsid w:val="00CB7E41"/>
    <w:rsid w:val="00CC15AE"/>
    <w:rsid w:val="00CC1CDC"/>
    <w:rsid w:val="00CC21C5"/>
    <w:rsid w:val="00CC228F"/>
    <w:rsid w:val="00CC2A90"/>
    <w:rsid w:val="00CC3769"/>
    <w:rsid w:val="00CC5EC6"/>
    <w:rsid w:val="00CC604E"/>
    <w:rsid w:val="00CC62AB"/>
    <w:rsid w:val="00CC64DB"/>
    <w:rsid w:val="00CC64E5"/>
    <w:rsid w:val="00CC6C38"/>
    <w:rsid w:val="00CC715D"/>
    <w:rsid w:val="00CC7591"/>
    <w:rsid w:val="00CC762C"/>
    <w:rsid w:val="00CD0640"/>
    <w:rsid w:val="00CD2005"/>
    <w:rsid w:val="00CD2AFC"/>
    <w:rsid w:val="00CD3FF8"/>
    <w:rsid w:val="00CD4416"/>
    <w:rsid w:val="00CD4A1E"/>
    <w:rsid w:val="00CD58E4"/>
    <w:rsid w:val="00CD5B40"/>
    <w:rsid w:val="00CD72DB"/>
    <w:rsid w:val="00CD743A"/>
    <w:rsid w:val="00CE001A"/>
    <w:rsid w:val="00CE1A85"/>
    <w:rsid w:val="00CE1AE2"/>
    <w:rsid w:val="00CE1C17"/>
    <w:rsid w:val="00CE1F0F"/>
    <w:rsid w:val="00CE23CB"/>
    <w:rsid w:val="00CE2CCC"/>
    <w:rsid w:val="00CE43C8"/>
    <w:rsid w:val="00CE4A3A"/>
    <w:rsid w:val="00CE59DE"/>
    <w:rsid w:val="00CE764C"/>
    <w:rsid w:val="00CE7B07"/>
    <w:rsid w:val="00CE7C89"/>
    <w:rsid w:val="00CE7D10"/>
    <w:rsid w:val="00CF0942"/>
    <w:rsid w:val="00CF141D"/>
    <w:rsid w:val="00CF16B8"/>
    <w:rsid w:val="00CF1CF2"/>
    <w:rsid w:val="00CF2F37"/>
    <w:rsid w:val="00CF30B0"/>
    <w:rsid w:val="00CF3DAB"/>
    <w:rsid w:val="00CF6155"/>
    <w:rsid w:val="00CF6D24"/>
    <w:rsid w:val="00CF7E71"/>
    <w:rsid w:val="00D00028"/>
    <w:rsid w:val="00D00107"/>
    <w:rsid w:val="00D01AE5"/>
    <w:rsid w:val="00D02370"/>
    <w:rsid w:val="00D029E4"/>
    <w:rsid w:val="00D0384F"/>
    <w:rsid w:val="00D045E1"/>
    <w:rsid w:val="00D06258"/>
    <w:rsid w:val="00D07079"/>
    <w:rsid w:val="00D07169"/>
    <w:rsid w:val="00D13969"/>
    <w:rsid w:val="00D13AE5"/>
    <w:rsid w:val="00D13C41"/>
    <w:rsid w:val="00D14698"/>
    <w:rsid w:val="00D14790"/>
    <w:rsid w:val="00D15467"/>
    <w:rsid w:val="00D15D69"/>
    <w:rsid w:val="00D16391"/>
    <w:rsid w:val="00D16E7C"/>
    <w:rsid w:val="00D17703"/>
    <w:rsid w:val="00D21A0C"/>
    <w:rsid w:val="00D21DC2"/>
    <w:rsid w:val="00D22447"/>
    <w:rsid w:val="00D25D90"/>
    <w:rsid w:val="00D25DA1"/>
    <w:rsid w:val="00D25E3C"/>
    <w:rsid w:val="00D26CF2"/>
    <w:rsid w:val="00D31D14"/>
    <w:rsid w:val="00D326DC"/>
    <w:rsid w:val="00D3273F"/>
    <w:rsid w:val="00D329A8"/>
    <w:rsid w:val="00D32A06"/>
    <w:rsid w:val="00D343EC"/>
    <w:rsid w:val="00D3606D"/>
    <w:rsid w:val="00D374DF"/>
    <w:rsid w:val="00D37C8F"/>
    <w:rsid w:val="00D416EC"/>
    <w:rsid w:val="00D42875"/>
    <w:rsid w:val="00D4381E"/>
    <w:rsid w:val="00D45883"/>
    <w:rsid w:val="00D45A7A"/>
    <w:rsid w:val="00D46A15"/>
    <w:rsid w:val="00D47557"/>
    <w:rsid w:val="00D47C0D"/>
    <w:rsid w:val="00D51605"/>
    <w:rsid w:val="00D52482"/>
    <w:rsid w:val="00D52CDA"/>
    <w:rsid w:val="00D52DA1"/>
    <w:rsid w:val="00D55AE8"/>
    <w:rsid w:val="00D55B5D"/>
    <w:rsid w:val="00D55DD2"/>
    <w:rsid w:val="00D566BB"/>
    <w:rsid w:val="00D570CB"/>
    <w:rsid w:val="00D6035F"/>
    <w:rsid w:val="00D61E5E"/>
    <w:rsid w:val="00D62391"/>
    <w:rsid w:val="00D63527"/>
    <w:rsid w:val="00D6404D"/>
    <w:rsid w:val="00D65204"/>
    <w:rsid w:val="00D66504"/>
    <w:rsid w:val="00D66714"/>
    <w:rsid w:val="00D6704F"/>
    <w:rsid w:val="00D7011A"/>
    <w:rsid w:val="00D70523"/>
    <w:rsid w:val="00D73AFE"/>
    <w:rsid w:val="00D73CD6"/>
    <w:rsid w:val="00D743E9"/>
    <w:rsid w:val="00D74BEE"/>
    <w:rsid w:val="00D7614B"/>
    <w:rsid w:val="00D764C4"/>
    <w:rsid w:val="00D76877"/>
    <w:rsid w:val="00D813A1"/>
    <w:rsid w:val="00D8251E"/>
    <w:rsid w:val="00D83006"/>
    <w:rsid w:val="00D83868"/>
    <w:rsid w:val="00D84612"/>
    <w:rsid w:val="00D85214"/>
    <w:rsid w:val="00D872DC"/>
    <w:rsid w:val="00D90006"/>
    <w:rsid w:val="00D90E47"/>
    <w:rsid w:val="00D91C75"/>
    <w:rsid w:val="00D92C9A"/>
    <w:rsid w:val="00D930A5"/>
    <w:rsid w:val="00D930F7"/>
    <w:rsid w:val="00D93BCC"/>
    <w:rsid w:val="00D9554E"/>
    <w:rsid w:val="00D95AA0"/>
    <w:rsid w:val="00D95B1D"/>
    <w:rsid w:val="00D96106"/>
    <w:rsid w:val="00D9667C"/>
    <w:rsid w:val="00D96F1F"/>
    <w:rsid w:val="00DA05AA"/>
    <w:rsid w:val="00DA26E9"/>
    <w:rsid w:val="00DA382F"/>
    <w:rsid w:val="00DA5EEB"/>
    <w:rsid w:val="00DA7552"/>
    <w:rsid w:val="00DB100E"/>
    <w:rsid w:val="00DB21A4"/>
    <w:rsid w:val="00DB21B3"/>
    <w:rsid w:val="00DB249D"/>
    <w:rsid w:val="00DB3983"/>
    <w:rsid w:val="00DB42B0"/>
    <w:rsid w:val="00DB43B5"/>
    <w:rsid w:val="00DB6E1E"/>
    <w:rsid w:val="00DB7079"/>
    <w:rsid w:val="00DB73E0"/>
    <w:rsid w:val="00DB77B1"/>
    <w:rsid w:val="00DB7806"/>
    <w:rsid w:val="00DB7A16"/>
    <w:rsid w:val="00DB7C79"/>
    <w:rsid w:val="00DC0237"/>
    <w:rsid w:val="00DC02F4"/>
    <w:rsid w:val="00DC14F4"/>
    <w:rsid w:val="00DC184C"/>
    <w:rsid w:val="00DC1B29"/>
    <w:rsid w:val="00DC2166"/>
    <w:rsid w:val="00DC22EF"/>
    <w:rsid w:val="00DC2A96"/>
    <w:rsid w:val="00DC3F97"/>
    <w:rsid w:val="00DC44C4"/>
    <w:rsid w:val="00DC4B0B"/>
    <w:rsid w:val="00DC52B1"/>
    <w:rsid w:val="00DC56D1"/>
    <w:rsid w:val="00DC634E"/>
    <w:rsid w:val="00DC79FB"/>
    <w:rsid w:val="00DC7EF1"/>
    <w:rsid w:val="00DD045E"/>
    <w:rsid w:val="00DD0D8F"/>
    <w:rsid w:val="00DD12EC"/>
    <w:rsid w:val="00DD1398"/>
    <w:rsid w:val="00DD16DC"/>
    <w:rsid w:val="00DD18D0"/>
    <w:rsid w:val="00DD2446"/>
    <w:rsid w:val="00DD4B7C"/>
    <w:rsid w:val="00DD4E3D"/>
    <w:rsid w:val="00DD5F65"/>
    <w:rsid w:val="00DD6520"/>
    <w:rsid w:val="00DE0ACD"/>
    <w:rsid w:val="00DE0B9D"/>
    <w:rsid w:val="00DE0D90"/>
    <w:rsid w:val="00DE15CE"/>
    <w:rsid w:val="00DE1870"/>
    <w:rsid w:val="00DE1917"/>
    <w:rsid w:val="00DE2851"/>
    <w:rsid w:val="00DE2F53"/>
    <w:rsid w:val="00DE2F70"/>
    <w:rsid w:val="00DE3313"/>
    <w:rsid w:val="00DE37BC"/>
    <w:rsid w:val="00DE4C19"/>
    <w:rsid w:val="00DE505B"/>
    <w:rsid w:val="00DE5B5A"/>
    <w:rsid w:val="00DE73C3"/>
    <w:rsid w:val="00DE743A"/>
    <w:rsid w:val="00DF08C5"/>
    <w:rsid w:val="00DF101D"/>
    <w:rsid w:val="00DF19D3"/>
    <w:rsid w:val="00DF1BEF"/>
    <w:rsid w:val="00DF3E96"/>
    <w:rsid w:val="00DF474B"/>
    <w:rsid w:val="00E000BC"/>
    <w:rsid w:val="00E017E5"/>
    <w:rsid w:val="00E01CFA"/>
    <w:rsid w:val="00E023CE"/>
    <w:rsid w:val="00E03DBA"/>
    <w:rsid w:val="00E053A0"/>
    <w:rsid w:val="00E06782"/>
    <w:rsid w:val="00E06BD7"/>
    <w:rsid w:val="00E070F9"/>
    <w:rsid w:val="00E1153B"/>
    <w:rsid w:val="00E126C9"/>
    <w:rsid w:val="00E13D5A"/>
    <w:rsid w:val="00E14673"/>
    <w:rsid w:val="00E165CC"/>
    <w:rsid w:val="00E16E6A"/>
    <w:rsid w:val="00E17F6E"/>
    <w:rsid w:val="00E20C6D"/>
    <w:rsid w:val="00E213F6"/>
    <w:rsid w:val="00E21549"/>
    <w:rsid w:val="00E229DD"/>
    <w:rsid w:val="00E23FE8"/>
    <w:rsid w:val="00E2640A"/>
    <w:rsid w:val="00E266AB"/>
    <w:rsid w:val="00E301B9"/>
    <w:rsid w:val="00E30CC6"/>
    <w:rsid w:val="00E31CD0"/>
    <w:rsid w:val="00E331C8"/>
    <w:rsid w:val="00E335E7"/>
    <w:rsid w:val="00E341C2"/>
    <w:rsid w:val="00E34315"/>
    <w:rsid w:val="00E350C5"/>
    <w:rsid w:val="00E35142"/>
    <w:rsid w:val="00E35D79"/>
    <w:rsid w:val="00E400A6"/>
    <w:rsid w:val="00E4073D"/>
    <w:rsid w:val="00E4194A"/>
    <w:rsid w:val="00E41E15"/>
    <w:rsid w:val="00E440A3"/>
    <w:rsid w:val="00E47535"/>
    <w:rsid w:val="00E47DDB"/>
    <w:rsid w:val="00E50D90"/>
    <w:rsid w:val="00E519FD"/>
    <w:rsid w:val="00E52ABA"/>
    <w:rsid w:val="00E538F1"/>
    <w:rsid w:val="00E546C7"/>
    <w:rsid w:val="00E55821"/>
    <w:rsid w:val="00E55B78"/>
    <w:rsid w:val="00E56CDC"/>
    <w:rsid w:val="00E57031"/>
    <w:rsid w:val="00E57364"/>
    <w:rsid w:val="00E6017B"/>
    <w:rsid w:val="00E6057D"/>
    <w:rsid w:val="00E60E0E"/>
    <w:rsid w:val="00E61A04"/>
    <w:rsid w:val="00E63523"/>
    <w:rsid w:val="00E63667"/>
    <w:rsid w:val="00E636C3"/>
    <w:rsid w:val="00E63714"/>
    <w:rsid w:val="00E63972"/>
    <w:rsid w:val="00E639E8"/>
    <w:rsid w:val="00E642D9"/>
    <w:rsid w:val="00E65085"/>
    <w:rsid w:val="00E650E5"/>
    <w:rsid w:val="00E65571"/>
    <w:rsid w:val="00E659CB"/>
    <w:rsid w:val="00E65E72"/>
    <w:rsid w:val="00E66B8E"/>
    <w:rsid w:val="00E672DC"/>
    <w:rsid w:val="00E67AF9"/>
    <w:rsid w:val="00E67E14"/>
    <w:rsid w:val="00E70401"/>
    <w:rsid w:val="00E70A40"/>
    <w:rsid w:val="00E718FA"/>
    <w:rsid w:val="00E71C4F"/>
    <w:rsid w:val="00E71D8D"/>
    <w:rsid w:val="00E72159"/>
    <w:rsid w:val="00E73D69"/>
    <w:rsid w:val="00E73F93"/>
    <w:rsid w:val="00E7431D"/>
    <w:rsid w:val="00E7449F"/>
    <w:rsid w:val="00E744DC"/>
    <w:rsid w:val="00E747F5"/>
    <w:rsid w:val="00E751E5"/>
    <w:rsid w:val="00E75E61"/>
    <w:rsid w:val="00E75FB7"/>
    <w:rsid w:val="00E762EA"/>
    <w:rsid w:val="00E77811"/>
    <w:rsid w:val="00E81C50"/>
    <w:rsid w:val="00E82B3B"/>
    <w:rsid w:val="00E8350A"/>
    <w:rsid w:val="00E84828"/>
    <w:rsid w:val="00E849F8"/>
    <w:rsid w:val="00E8519E"/>
    <w:rsid w:val="00E85512"/>
    <w:rsid w:val="00E85B4E"/>
    <w:rsid w:val="00E85E27"/>
    <w:rsid w:val="00E87010"/>
    <w:rsid w:val="00E87EDA"/>
    <w:rsid w:val="00E90928"/>
    <w:rsid w:val="00E90BC2"/>
    <w:rsid w:val="00E91EDC"/>
    <w:rsid w:val="00E92FA7"/>
    <w:rsid w:val="00E944AE"/>
    <w:rsid w:val="00E94C41"/>
    <w:rsid w:val="00E94F4D"/>
    <w:rsid w:val="00E96383"/>
    <w:rsid w:val="00E96490"/>
    <w:rsid w:val="00E964E0"/>
    <w:rsid w:val="00E96DC4"/>
    <w:rsid w:val="00E96E8F"/>
    <w:rsid w:val="00E977D6"/>
    <w:rsid w:val="00EA10D0"/>
    <w:rsid w:val="00EA143E"/>
    <w:rsid w:val="00EA1441"/>
    <w:rsid w:val="00EA25B0"/>
    <w:rsid w:val="00EA2810"/>
    <w:rsid w:val="00EA3129"/>
    <w:rsid w:val="00EA4288"/>
    <w:rsid w:val="00EA465C"/>
    <w:rsid w:val="00EA491E"/>
    <w:rsid w:val="00EA49D4"/>
    <w:rsid w:val="00EA4CAE"/>
    <w:rsid w:val="00EA4FDE"/>
    <w:rsid w:val="00EA63EA"/>
    <w:rsid w:val="00EA6E50"/>
    <w:rsid w:val="00EB030E"/>
    <w:rsid w:val="00EB03FA"/>
    <w:rsid w:val="00EB0CD9"/>
    <w:rsid w:val="00EB3EC1"/>
    <w:rsid w:val="00EB4817"/>
    <w:rsid w:val="00EB5149"/>
    <w:rsid w:val="00EB6752"/>
    <w:rsid w:val="00EB6799"/>
    <w:rsid w:val="00EB746F"/>
    <w:rsid w:val="00EB7F7F"/>
    <w:rsid w:val="00EC1E14"/>
    <w:rsid w:val="00EC3CEB"/>
    <w:rsid w:val="00EC4347"/>
    <w:rsid w:val="00EC592E"/>
    <w:rsid w:val="00EC5977"/>
    <w:rsid w:val="00EC6694"/>
    <w:rsid w:val="00ED1199"/>
    <w:rsid w:val="00ED1D4E"/>
    <w:rsid w:val="00ED1E6D"/>
    <w:rsid w:val="00ED32F1"/>
    <w:rsid w:val="00ED3731"/>
    <w:rsid w:val="00ED4239"/>
    <w:rsid w:val="00ED4419"/>
    <w:rsid w:val="00ED4DB3"/>
    <w:rsid w:val="00ED4E63"/>
    <w:rsid w:val="00EE01A9"/>
    <w:rsid w:val="00EE048A"/>
    <w:rsid w:val="00EE0A75"/>
    <w:rsid w:val="00EE1B43"/>
    <w:rsid w:val="00EE339C"/>
    <w:rsid w:val="00EE38EB"/>
    <w:rsid w:val="00EE3F05"/>
    <w:rsid w:val="00EE4491"/>
    <w:rsid w:val="00EE4B66"/>
    <w:rsid w:val="00EE556C"/>
    <w:rsid w:val="00EE6444"/>
    <w:rsid w:val="00EE7A87"/>
    <w:rsid w:val="00EF032E"/>
    <w:rsid w:val="00EF0805"/>
    <w:rsid w:val="00EF08D2"/>
    <w:rsid w:val="00EF20F5"/>
    <w:rsid w:val="00EF219D"/>
    <w:rsid w:val="00EF393E"/>
    <w:rsid w:val="00EF5406"/>
    <w:rsid w:val="00EF54ED"/>
    <w:rsid w:val="00EF6190"/>
    <w:rsid w:val="00EF712D"/>
    <w:rsid w:val="00EF7857"/>
    <w:rsid w:val="00F00E90"/>
    <w:rsid w:val="00F01322"/>
    <w:rsid w:val="00F016B7"/>
    <w:rsid w:val="00F01740"/>
    <w:rsid w:val="00F02347"/>
    <w:rsid w:val="00F02FAF"/>
    <w:rsid w:val="00F03A28"/>
    <w:rsid w:val="00F06709"/>
    <w:rsid w:val="00F06AA1"/>
    <w:rsid w:val="00F0770F"/>
    <w:rsid w:val="00F10E81"/>
    <w:rsid w:val="00F11C96"/>
    <w:rsid w:val="00F128D2"/>
    <w:rsid w:val="00F12CF7"/>
    <w:rsid w:val="00F130F8"/>
    <w:rsid w:val="00F13581"/>
    <w:rsid w:val="00F14111"/>
    <w:rsid w:val="00F149A5"/>
    <w:rsid w:val="00F158B1"/>
    <w:rsid w:val="00F158F1"/>
    <w:rsid w:val="00F15D75"/>
    <w:rsid w:val="00F17305"/>
    <w:rsid w:val="00F20608"/>
    <w:rsid w:val="00F21D01"/>
    <w:rsid w:val="00F221E9"/>
    <w:rsid w:val="00F2250A"/>
    <w:rsid w:val="00F22882"/>
    <w:rsid w:val="00F2358C"/>
    <w:rsid w:val="00F2391E"/>
    <w:rsid w:val="00F2597D"/>
    <w:rsid w:val="00F27E3F"/>
    <w:rsid w:val="00F27F5A"/>
    <w:rsid w:val="00F27FE3"/>
    <w:rsid w:val="00F311E1"/>
    <w:rsid w:val="00F3124C"/>
    <w:rsid w:val="00F33DCD"/>
    <w:rsid w:val="00F3400A"/>
    <w:rsid w:val="00F350AD"/>
    <w:rsid w:val="00F3799A"/>
    <w:rsid w:val="00F37F3A"/>
    <w:rsid w:val="00F40EC4"/>
    <w:rsid w:val="00F41ACF"/>
    <w:rsid w:val="00F41BC9"/>
    <w:rsid w:val="00F42031"/>
    <w:rsid w:val="00F42E70"/>
    <w:rsid w:val="00F43223"/>
    <w:rsid w:val="00F432FE"/>
    <w:rsid w:val="00F440A0"/>
    <w:rsid w:val="00F44B2C"/>
    <w:rsid w:val="00F44C3F"/>
    <w:rsid w:val="00F452E5"/>
    <w:rsid w:val="00F45BED"/>
    <w:rsid w:val="00F460B7"/>
    <w:rsid w:val="00F473B3"/>
    <w:rsid w:val="00F476DE"/>
    <w:rsid w:val="00F50D35"/>
    <w:rsid w:val="00F50D83"/>
    <w:rsid w:val="00F510C4"/>
    <w:rsid w:val="00F51869"/>
    <w:rsid w:val="00F5262C"/>
    <w:rsid w:val="00F529B2"/>
    <w:rsid w:val="00F53505"/>
    <w:rsid w:val="00F537B9"/>
    <w:rsid w:val="00F5424B"/>
    <w:rsid w:val="00F54FE6"/>
    <w:rsid w:val="00F555F9"/>
    <w:rsid w:val="00F55A75"/>
    <w:rsid w:val="00F55B57"/>
    <w:rsid w:val="00F5650F"/>
    <w:rsid w:val="00F56647"/>
    <w:rsid w:val="00F56C9A"/>
    <w:rsid w:val="00F63979"/>
    <w:rsid w:val="00F63CA2"/>
    <w:rsid w:val="00F650A8"/>
    <w:rsid w:val="00F66A49"/>
    <w:rsid w:val="00F67500"/>
    <w:rsid w:val="00F715BB"/>
    <w:rsid w:val="00F720DA"/>
    <w:rsid w:val="00F739B0"/>
    <w:rsid w:val="00F73B56"/>
    <w:rsid w:val="00F740E1"/>
    <w:rsid w:val="00F75D97"/>
    <w:rsid w:val="00F75EE6"/>
    <w:rsid w:val="00F761B6"/>
    <w:rsid w:val="00F76F76"/>
    <w:rsid w:val="00F7739C"/>
    <w:rsid w:val="00F77783"/>
    <w:rsid w:val="00F815A4"/>
    <w:rsid w:val="00F81D9B"/>
    <w:rsid w:val="00F81E73"/>
    <w:rsid w:val="00F82A71"/>
    <w:rsid w:val="00F85236"/>
    <w:rsid w:val="00F85F60"/>
    <w:rsid w:val="00F86076"/>
    <w:rsid w:val="00F863D5"/>
    <w:rsid w:val="00F86633"/>
    <w:rsid w:val="00F86F7D"/>
    <w:rsid w:val="00F87619"/>
    <w:rsid w:val="00F9055E"/>
    <w:rsid w:val="00F909BD"/>
    <w:rsid w:val="00F92218"/>
    <w:rsid w:val="00F93887"/>
    <w:rsid w:val="00F93A2D"/>
    <w:rsid w:val="00F93B2D"/>
    <w:rsid w:val="00F9426D"/>
    <w:rsid w:val="00F94566"/>
    <w:rsid w:val="00F96038"/>
    <w:rsid w:val="00F97DD4"/>
    <w:rsid w:val="00FA2880"/>
    <w:rsid w:val="00FA36AA"/>
    <w:rsid w:val="00FA51F1"/>
    <w:rsid w:val="00FA561B"/>
    <w:rsid w:val="00FA5D2E"/>
    <w:rsid w:val="00FA6C94"/>
    <w:rsid w:val="00FA77AA"/>
    <w:rsid w:val="00FA792B"/>
    <w:rsid w:val="00FB0FB0"/>
    <w:rsid w:val="00FB131D"/>
    <w:rsid w:val="00FB25CE"/>
    <w:rsid w:val="00FB308B"/>
    <w:rsid w:val="00FB30D6"/>
    <w:rsid w:val="00FB4152"/>
    <w:rsid w:val="00FB4F17"/>
    <w:rsid w:val="00FB5475"/>
    <w:rsid w:val="00FB7A46"/>
    <w:rsid w:val="00FC0BC9"/>
    <w:rsid w:val="00FC188D"/>
    <w:rsid w:val="00FC3E75"/>
    <w:rsid w:val="00FC4998"/>
    <w:rsid w:val="00FC4D26"/>
    <w:rsid w:val="00FC6887"/>
    <w:rsid w:val="00FC7EEC"/>
    <w:rsid w:val="00FD09F6"/>
    <w:rsid w:val="00FD0C8C"/>
    <w:rsid w:val="00FD0C9A"/>
    <w:rsid w:val="00FD1479"/>
    <w:rsid w:val="00FD15D1"/>
    <w:rsid w:val="00FD26A7"/>
    <w:rsid w:val="00FD27DF"/>
    <w:rsid w:val="00FD3372"/>
    <w:rsid w:val="00FD3A71"/>
    <w:rsid w:val="00FD3EF4"/>
    <w:rsid w:val="00FD41B0"/>
    <w:rsid w:val="00FD5214"/>
    <w:rsid w:val="00FD5FC7"/>
    <w:rsid w:val="00FD6466"/>
    <w:rsid w:val="00FD67E2"/>
    <w:rsid w:val="00FD7508"/>
    <w:rsid w:val="00FD791F"/>
    <w:rsid w:val="00FD7B1C"/>
    <w:rsid w:val="00FE0E0F"/>
    <w:rsid w:val="00FE1478"/>
    <w:rsid w:val="00FE236D"/>
    <w:rsid w:val="00FE23ED"/>
    <w:rsid w:val="00FE2C72"/>
    <w:rsid w:val="00FE3858"/>
    <w:rsid w:val="00FE3FAC"/>
    <w:rsid w:val="00FE41AB"/>
    <w:rsid w:val="00FE4ABA"/>
    <w:rsid w:val="00FE5724"/>
    <w:rsid w:val="00FE612E"/>
    <w:rsid w:val="00FE6A2D"/>
    <w:rsid w:val="00FE7D32"/>
    <w:rsid w:val="00FF0930"/>
    <w:rsid w:val="00FF0D2A"/>
    <w:rsid w:val="00FF1824"/>
    <w:rsid w:val="00FF4F2B"/>
    <w:rsid w:val="00FF4FEF"/>
    <w:rsid w:val="00FF5071"/>
    <w:rsid w:val="00FF5E06"/>
    <w:rsid w:val="00FF60D9"/>
    <w:rsid w:val="00FF6350"/>
    <w:rsid w:val="00FF6F36"/>
    <w:rsid w:val="127A7A1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5D7A2C4"/>
  <w15:docId w15:val="{DFAAAAD5-B33E-48FB-B381-6E6ED626535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SimSu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uiPriority="98"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Theme" w:semiHidden="1" w:unhideWhenUsed="1"/>
    <w:lsdException w:name="Placeholder Text" w:uiPriority="99" w:semiHidden="1"/>
    <w:lsdException w:name="No Spacing" w:uiPriority="4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345B14"/>
    <w:pPr>
      <w:spacing w:after="140" w:line="290" w:lineRule="auto"/>
    </w:pPr>
    <w:rPr>
      <w:rFonts w:eastAsia="Times New Roman"/>
      <w:kern w:val="20"/>
      <w:lang w:eastAsia="en-US"/>
    </w:rPr>
  </w:style>
  <w:style w:type="paragraph" w:styleId="Heading1">
    <w:name w:val="heading 1"/>
    <w:basedOn w:val="Normal"/>
    <w:next w:val="Normal"/>
    <w:link w:val="Heading1Char"/>
    <w:qFormat/>
    <w:rsid w:val="00321CD8"/>
    <w:pPr>
      <w:numPr>
        <w:numId w:val="42"/>
      </w:numPr>
      <w:spacing w:line="240" w:lineRule="auto"/>
      <w:outlineLvl w:val="0"/>
    </w:pPr>
  </w:style>
  <w:style w:type="paragraph" w:styleId="Heading2">
    <w:name w:val="heading 2"/>
    <w:basedOn w:val="Normal"/>
    <w:next w:val="Normal"/>
    <w:link w:val="Heading2Char"/>
    <w:qFormat/>
    <w:rsid w:val="00321CD8"/>
    <w:pPr>
      <w:numPr>
        <w:ilvl w:val="1"/>
        <w:numId w:val="42"/>
      </w:numPr>
      <w:spacing w:line="240" w:lineRule="auto"/>
      <w:outlineLvl w:val="1"/>
    </w:pPr>
  </w:style>
  <w:style w:type="paragraph" w:styleId="Heading3">
    <w:name w:val="heading 3"/>
    <w:basedOn w:val="Normal"/>
    <w:next w:val="Normal"/>
    <w:link w:val="Heading3Char"/>
    <w:qFormat/>
    <w:rsid w:val="00321CD8"/>
    <w:pPr>
      <w:numPr>
        <w:ilvl w:val="2"/>
        <w:numId w:val="42"/>
      </w:numPr>
      <w:spacing w:line="240" w:lineRule="auto"/>
      <w:outlineLvl w:val="2"/>
    </w:pPr>
  </w:style>
  <w:style w:type="paragraph" w:styleId="Heading4">
    <w:name w:val="heading 4"/>
    <w:basedOn w:val="Normal"/>
    <w:next w:val="Normal"/>
    <w:link w:val="Heading4Char"/>
    <w:qFormat/>
    <w:rsid w:val="00321CD8"/>
    <w:pPr>
      <w:numPr>
        <w:ilvl w:val="3"/>
        <w:numId w:val="42"/>
      </w:numPr>
      <w:spacing w:line="240" w:lineRule="auto"/>
      <w:outlineLvl w:val="3"/>
    </w:pPr>
  </w:style>
  <w:style w:type="paragraph" w:styleId="Heading5">
    <w:name w:val="heading 5"/>
    <w:basedOn w:val="Normal"/>
    <w:next w:val="Normal"/>
    <w:link w:val="Heading5Char"/>
    <w:qFormat/>
    <w:rsid w:val="00321CD8"/>
    <w:pPr>
      <w:numPr>
        <w:ilvl w:val="4"/>
        <w:numId w:val="42"/>
      </w:numPr>
      <w:spacing w:line="240" w:lineRule="auto"/>
      <w:outlineLvl w:val="4"/>
    </w:pPr>
  </w:style>
  <w:style w:type="paragraph" w:styleId="Heading6">
    <w:name w:val="heading 6"/>
    <w:basedOn w:val="Normal"/>
    <w:next w:val="Normal"/>
    <w:link w:val="Heading6Char"/>
    <w:qFormat/>
    <w:rsid w:val="00321CD8"/>
    <w:pPr>
      <w:numPr>
        <w:ilvl w:val="5"/>
        <w:numId w:val="42"/>
      </w:numPr>
      <w:spacing w:line="240" w:lineRule="auto"/>
      <w:outlineLvl w:val="5"/>
    </w:pPr>
  </w:style>
  <w:style w:type="paragraph" w:styleId="Heading7">
    <w:name w:val="heading 7"/>
    <w:basedOn w:val="Normal"/>
    <w:next w:val="Normal"/>
    <w:link w:val="Heading7Char"/>
    <w:qFormat/>
    <w:rsid w:val="00321CD8"/>
    <w:pPr>
      <w:numPr>
        <w:ilvl w:val="6"/>
        <w:numId w:val="42"/>
      </w:numPr>
      <w:spacing w:line="240" w:lineRule="auto"/>
      <w:outlineLvl w:val="6"/>
    </w:pPr>
  </w:style>
  <w:style w:type="paragraph" w:styleId="Heading8">
    <w:name w:val="heading 8"/>
    <w:basedOn w:val="Normal"/>
    <w:next w:val="Normal"/>
    <w:link w:val="Heading8Char"/>
    <w:qFormat/>
    <w:rsid w:val="00321CD8"/>
    <w:pPr>
      <w:numPr>
        <w:ilvl w:val="7"/>
        <w:numId w:val="42"/>
      </w:numPr>
      <w:spacing w:line="240" w:lineRule="auto"/>
      <w:outlineLvl w:val="7"/>
    </w:pPr>
  </w:style>
  <w:style w:type="paragraph" w:styleId="Heading9">
    <w:name w:val="heading 9"/>
    <w:basedOn w:val="Normal"/>
    <w:next w:val="Normal"/>
    <w:link w:val="Heading9Char"/>
    <w:qFormat/>
    <w:rsid w:val="00321CD8"/>
    <w:pPr>
      <w:numPr>
        <w:ilvl w:val="8"/>
        <w:numId w:val="42"/>
      </w:numPr>
      <w:spacing w:line="240" w:lineRule="auto"/>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 w:customStyle="1">
    <w:name w:val="Body"/>
    <w:basedOn w:val="Normal"/>
    <w:rsid w:val="00321CD8"/>
    <w:pPr>
      <w:ind w:left="425"/>
      <w:jc w:val="both"/>
    </w:pPr>
  </w:style>
  <w:style w:type="paragraph" w:styleId="Footer">
    <w:name w:val="footer"/>
    <w:basedOn w:val="Normal"/>
    <w:rsid w:val="00321CD8"/>
    <w:pPr>
      <w:tabs>
        <w:tab w:val="center" w:pos="4536"/>
        <w:tab w:val="right" w:pos="9072"/>
      </w:tabs>
      <w:spacing w:after="0" w:line="240" w:lineRule="auto"/>
    </w:pPr>
    <w:rPr>
      <w:sz w:val="17"/>
    </w:rPr>
  </w:style>
  <w:style w:type="paragraph" w:styleId="Head" w:customStyle="1">
    <w:name w:val="Head"/>
    <w:basedOn w:val="Normal"/>
    <w:next w:val="Body"/>
    <w:rsid w:val="00321CD8"/>
    <w:pPr>
      <w:keepNext/>
      <w:spacing w:before="295" w:after="175"/>
      <w:ind w:left="425"/>
      <w:jc w:val="both"/>
      <w:outlineLvl w:val="0"/>
    </w:pPr>
    <w:rPr>
      <w:b/>
      <w:sz w:val="22"/>
    </w:rPr>
  </w:style>
  <w:style w:type="paragraph" w:styleId="Header">
    <w:name w:val="header"/>
    <w:basedOn w:val="Normal"/>
    <w:rsid w:val="00321CD8"/>
    <w:pPr>
      <w:tabs>
        <w:tab w:val="center" w:pos="4536"/>
        <w:tab w:val="right" w:pos="9072"/>
      </w:tabs>
      <w:spacing w:line="240" w:lineRule="auto"/>
    </w:pPr>
    <w:rPr>
      <w:sz w:val="19"/>
    </w:rPr>
  </w:style>
  <w:style w:type="character" w:styleId="PageNumber">
    <w:name w:val="page number"/>
    <w:basedOn w:val="DefaultParagraphFont"/>
    <w:rsid w:val="00321CD8"/>
  </w:style>
  <w:style w:type="paragraph" w:styleId="Title22" w:customStyle="1">
    <w:name w:val="Title22"/>
    <w:basedOn w:val="Normal"/>
    <w:rsid w:val="00321CD8"/>
    <w:pPr>
      <w:keepNext/>
      <w:keepLines/>
      <w:spacing w:after="120"/>
      <w:jc w:val="center"/>
      <w:outlineLvl w:val="0"/>
    </w:pPr>
    <w:rPr>
      <w:b/>
      <w:sz w:val="44"/>
    </w:rPr>
  </w:style>
  <w:style w:type="paragraph" w:styleId="Title18" w:customStyle="1">
    <w:name w:val="Title18"/>
    <w:basedOn w:val="Normal"/>
    <w:rsid w:val="00321CD8"/>
    <w:pPr>
      <w:keepNext/>
      <w:keepLines/>
      <w:spacing w:after="0"/>
      <w:jc w:val="center"/>
      <w:outlineLvl w:val="0"/>
    </w:pPr>
    <w:rPr>
      <w:b/>
      <w:sz w:val="36"/>
    </w:rPr>
  </w:style>
  <w:style w:type="paragraph" w:styleId="Titleitalic" w:customStyle="1">
    <w:name w:val="Title italic"/>
    <w:basedOn w:val="Normal"/>
    <w:rsid w:val="00321CD8"/>
    <w:pPr>
      <w:keepNext/>
      <w:keepLines/>
      <w:spacing w:after="240"/>
      <w:jc w:val="center"/>
      <w:outlineLvl w:val="0"/>
    </w:pPr>
    <w:rPr>
      <w:i/>
    </w:rPr>
  </w:style>
  <w:style w:type="paragraph" w:styleId="Title16" w:customStyle="1">
    <w:name w:val="Title16"/>
    <w:basedOn w:val="Normal"/>
    <w:rsid w:val="00321CD8"/>
    <w:pPr>
      <w:keepNext/>
      <w:keepLines/>
      <w:spacing w:after="120"/>
      <w:jc w:val="center"/>
      <w:outlineLvl w:val="0"/>
    </w:pPr>
    <w:rPr>
      <w:b/>
      <w:sz w:val="32"/>
    </w:rPr>
  </w:style>
  <w:style w:type="paragraph" w:styleId="FPTableLeft" w:customStyle="1">
    <w:name w:val="FP Table Left"/>
    <w:basedOn w:val="Normal"/>
    <w:rsid w:val="00321CD8"/>
    <w:pPr>
      <w:keepNext/>
      <w:keepLines/>
      <w:spacing w:after="120"/>
      <w:outlineLvl w:val="0"/>
    </w:pPr>
    <w:rPr>
      <w:b/>
    </w:rPr>
  </w:style>
  <w:style w:type="paragraph" w:styleId="FPTableRight" w:customStyle="1">
    <w:name w:val="FP Table Right"/>
    <w:basedOn w:val="Normal"/>
    <w:rsid w:val="00321CD8"/>
    <w:pPr>
      <w:keepNext/>
      <w:keepLines/>
      <w:spacing w:after="120"/>
      <w:jc w:val="right"/>
      <w:outlineLvl w:val="0"/>
    </w:pPr>
    <w:rPr>
      <w:b/>
    </w:rPr>
  </w:style>
  <w:style w:type="paragraph" w:styleId="Covertext" w:customStyle="1">
    <w:name w:val="Covertext"/>
    <w:basedOn w:val="Body"/>
    <w:rsid w:val="00321CD8"/>
    <w:pPr>
      <w:ind w:left="0"/>
    </w:pPr>
    <w:rPr>
      <w:sz w:val="18"/>
    </w:rPr>
  </w:style>
  <w:style w:type="paragraph" w:styleId="Roman2-i" w:customStyle="1">
    <w:name w:val="Roman 2-(i)"/>
    <w:basedOn w:val="Normal"/>
    <w:rsid w:val="00321CD8"/>
    <w:pPr>
      <w:numPr>
        <w:numId w:val="45"/>
      </w:numPr>
      <w:jc w:val="both"/>
    </w:pPr>
  </w:style>
  <w:style w:type="table" w:styleId="TableGrid">
    <w:name w:val="Table Grid"/>
    <w:basedOn w:val="TableNormal"/>
    <w:rsid w:val="00321CD8"/>
    <w:pPr>
      <w:spacing w:after="140" w:line="29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te" w:customStyle="1">
    <w:name w:val="Note"/>
    <w:basedOn w:val="Normal"/>
    <w:rsid w:val="00321CD8"/>
    <w:pPr>
      <w:numPr>
        <w:numId w:val="44"/>
      </w:numPr>
      <w:spacing w:before="40" w:after="40"/>
      <w:jc w:val="both"/>
    </w:pPr>
    <w:rPr>
      <w:sz w:val="18"/>
    </w:rPr>
  </w:style>
  <w:style w:type="paragraph" w:styleId="NoteBody" w:customStyle="1">
    <w:name w:val="NoteBody"/>
    <w:basedOn w:val="Body"/>
    <w:rsid w:val="00321CD8"/>
    <w:pPr>
      <w:spacing w:before="40" w:after="40"/>
      <w:ind w:left="0"/>
    </w:pPr>
    <w:rPr>
      <w:sz w:val="18"/>
    </w:rPr>
  </w:style>
  <w:style w:type="paragraph" w:styleId="Head-C" w:customStyle="1">
    <w:name w:val="Head - C"/>
    <w:basedOn w:val="Normal"/>
    <w:next w:val="Body"/>
    <w:rsid w:val="00321CD8"/>
    <w:pPr>
      <w:keepNext/>
      <w:pageBreakBefore/>
      <w:spacing w:before="295" w:after="180"/>
      <w:ind w:left="425"/>
      <w:jc w:val="center"/>
      <w:outlineLvl w:val="0"/>
    </w:pPr>
    <w:rPr>
      <w:b/>
      <w:sz w:val="22"/>
    </w:rPr>
  </w:style>
  <w:style w:type="paragraph" w:styleId="TOCHead" w:customStyle="1">
    <w:name w:val="TOCHead"/>
    <w:basedOn w:val="Head"/>
    <w:next w:val="Body"/>
    <w:rsid w:val="00321CD8"/>
    <w:pPr>
      <w:jc w:val="center"/>
    </w:pPr>
  </w:style>
  <w:style w:type="paragraph" w:styleId="TOC1">
    <w:name w:val="toc 1"/>
    <w:basedOn w:val="Normal"/>
    <w:next w:val="Normal"/>
    <w:uiPriority w:val="39"/>
    <w:rsid w:val="00321CD8"/>
    <w:pPr>
      <w:spacing w:before="140"/>
      <w:ind w:left="850" w:hanging="425"/>
    </w:pPr>
  </w:style>
  <w:style w:type="paragraph" w:styleId="Alpha2-A" w:customStyle="1">
    <w:name w:val="Alpha 2-(A)"/>
    <w:basedOn w:val="Normal"/>
    <w:rsid w:val="00321CD8"/>
    <w:pPr>
      <w:numPr>
        <w:numId w:val="6"/>
      </w:numPr>
      <w:jc w:val="both"/>
    </w:pPr>
  </w:style>
  <w:style w:type="paragraph" w:styleId="3Level-Iblock" w:customStyle="1">
    <w:name w:val="3Level-(I)block"/>
    <w:basedOn w:val="Normal"/>
    <w:rsid w:val="00321CD8"/>
    <w:pPr>
      <w:numPr>
        <w:ilvl w:val="2"/>
        <w:numId w:val="2"/>
      </w:numPr>
    </w:pPr>
  </w:style>
  <w:style w:type="paragraph" w:styleId="Alpha1-Aitalic" w:customStyle="1">
    <w:name w:val="Alpha 1-(A) italic"/>
    <w:basedOn w:val="Normal"/>
    <w:rsid w:val="00321CD8"/>
    <w:pPr>
      <w:keepNext/>
      <w:numPr>
        <w:numId w:val="3"/>
      </w:numPr>
      <w:jc w:val="both"/>
    </w:pPr>
    <w:rPr>
      <w:i/>
      <w:sz w:val="22"/>
    </w:rPr>
  </w:style>
  <w:style w:type="paragraph" w:styleId="Alpha1G-Aitalic" w:customStyle="1">
    <w:name w:val="Alpha 1G-(A) italic"/>
    <w:basedOn w:val="Normal"/>
    <w:rsid w:val="00321CD8"/>
    <w:pPr>
      <w:numPr>
        <w:numId w:val="4"/>
      </w:numPr>
      <w:tabs>
        <w:tab w:val="clear" w:pos="425"/>
        <w:tab w:val="num" w:pos="360"/>
      </w:tabs>
      <w:jc w:val="both"/>
    </w:pPr>
    <w:rPr>
      <w:i/>
      <w:lang w:val="de-DE"/>
    </w:rPr>
  </w:style>
  <w:style w:type="paragraph" w:styleId="Alpha2-a0" w:customStyle="1">
    <w:name w:val="Alpha 2-(a)"/>
    <w:basedOn w:val="Normal"/>
    <w:rsid w:val="00321CD8"/>
    <w:pPr>
      <w:numPr>
        <w:numId w:val="5"/>
      </w:numPr>
      <w:jc w:val="both"/>
    </w:pPr>
  </w:style>
  <w:style w:type="paragraph" w:styleId="Alpha2-Abold0" w:customStyle="1">
    <w:name w:val="Alpha 2-(A) bold"/>
    <w:basedOn w:val="Normal"/>
    <w:next w:val="Body2"/>
    <w:rsid w:val="00321CD8"/>
    <w:pPr>
      <w:keepNext/>
      <w:numPr>
        <w:numId w:val="7"/>
      </w:numPr>
      <w:spacing w:before="120"/>
    </w:pPr>
    <w:rPr>
      <w:b/>
      <w:sz w:val="21"/>
    </w:rPr>
  </w:style>
  <w:style w:type="paragraph" w:styleId="Alpha2-abold" w:customStyle="1">
    <w:name w:val="Alpha 2-(a) bold"/>
    <w:basedOn w:val="Normal"/>
    <w:next w:val="Body2"/>
    <w:rsid w:val="00321CD8"/>
    <w:pPr>
      <w:keepNext/>
      <w:numPr>
        <w:numId w:val="8"/>
      </w:numPr>
      <w:spacing w:before="120"/>
    </w:pPr>
    <w:rPr>
      <w:b/>
      <w:sz w:val="21"/>
    </w:rPr>
  </w:style>
  <w:style w:type="paragraph" w:styleId="Alpha2-Abolditalic0" w:customStyle="1">
    <w:name w:val="Alpha 2-(A) bolditalic"/>
    <w:basedOn w:val="Normal"/>
    <w:next w:val="Body2"/>
    <w:rsid w:val="00321CD8"/>
    <w:pPr>
      <w:keepNext/>
      <w:numPr>
        <w:numId w:val="9"/>
      </w:numPr>
    </w:pPr>
    <w:rPr>
      <w:b/>
      <w:i/>
      <w:sz w:val="21"/>
    </w:rPr>
  </w:style>
  <w:style w:type="paragraph" w:styleId="Alpha2-abolditalic" w:customStyle="1">
    <w:name w:val="Alpha 2-(a) bolditalic"/>
    <w:basedOn w:val="Normal"/>
    <w:next w:val="Body2"/>
    <w:rsid w:val="00321CD8"/>
    <w:pPr>
      <w:keepNext/>
      <w:numPr>
        <w:numId w:val="10"/>
      </w:numPr>
    </w:pPr>
    <w:rPr>
      <w:b/>
      <w:i/>
      <w:sz w:val="21"/>
    </w:rPr>
  </w:style>
  <w:style w:type="paragraph" w:styleId="Alpha2-aitalic" w:customStyle="1">
    <w:name w:val="Alpha 2-(a) italic"/>
    <w:basedOn w:val="Normal"/>
    <w:next w:val="Body2"/>
    <w:rsid w:val="00321CD8"/>
    <w:pPr>
      <w:keepNext/>
      <w:numPr>
        <w:numId w:val="11"/>
      </w:numPr>
      <w:jc w:val="both"/>
    </w:pPr>
    <w:rPr>
      <w:i/>
      <w:sz w:val="21"/>
    </w:rPr>
  </w:style>
  <w:style w:type="paragraph" w:styleId="Alpha2-Aitalic0" w:customStyle="1">
    <w:name w:val="Alpha 2-(A) italic"/>
    <w:basedOn w:val="Normal"/>
    <w:next w:val="Body2"/>
    <w:rsid w:val="00321CD8"/>
    <w:pPr>
      <w:numPr>
        <w:numId w:val="12"/>
      </w:numPr>
      <w:jc w:val="both"/>
    </w:pPr>
    <w:rPr>
      <w:i/>
      <w:sz w:val="21"/>
    </w:rPr>
  </w:style>
  <w:style w:type="paragraph" w:styleId="Alpha2aitalicnum" w:customStyle="1">
    <w:name w:val="Alpha 2(a) italicnum"/>
    <w:basedOn w:val="Alpha2-a0"/>
    <w:rsid w:val="00321CD8"/>
    <w:pPr>
      <w:numPr>
        <w:numId w:val="13"/>
      </w:numPr>
    </w:pPr>
  </w:style>
  <w:style w:type="paragraph" w:styleId="Alpha3-A0" w:customStyle="1">
    <w:name w:val="Alpha 3-(A)"/>
    <w:basedOn w:val="Normal"/>
    <w:rsid w:val="00321CD8"/>
    <w:pPr>
      <w:numPr>
        <w:numId w:val="14"/>
      </w:numPr>
      <w:jc w:val="both"/>
    </w:pPr>
  </w:style>
  <w:style w:type="paragraph" w:styleId="Alpha3-a" w:customStyle="1">
    <w:name w:val="Alpha 3-(a)"/>
    <w:basedOn w:val="Body"/>
    <w:rsid w:val="00321CD8"/>
    <w:pPr>
      <w:numPr>
        <w:numId w:val="15"/>
      </w:numPr>
    </w:pPr>
  </w:style>
  <w:style w:type="paragraph" w:styleId="Alpha3-Abold" w:customStyle="1">
    <w:name w:val="Alpha 3-(A) bold"/>
    <w:basedOn w:val="Alpha3-A0"/>
    <w:next w:val="Body3"/>
    <w:rsid w:val="00321CD8"/>
    <w:pPr>
      <w:keepNext/>
      <w:numPr>
        <w:numId w:val="16"/>
      </w:numPr>
    </w:pPr>
    <w:rPr>
      <w:b/>
    </w:rPr>
  </w:style>
  <w:style w:type="paragraph" w:styleId="Alpha3-Aitalic" w:customStyle="1">
    <w:name w:val="Alpha 3-(A) italic"/>
    <w:basedOn w:val="Normal"/>
    <w:rsid w:val="00321CD8"/>
    <w:pPr>
      <w:numPr>
        <w:numId w:val="17"/>
      </w:numPr>
      <w:jc w:val="both"/>
    </w:pPr>
    <w:rPr>
      <w:i/>
    </w:rPr>
  </w:style>
  <w:style w:type="paragraph" w:styleId="Alpha4-a0" w:customStyle="1">
    <w:name w:val="Alpha 4-(a)"/>
    <w:basedOn w:val="Normal"/>
    <w:rsid w:val="00321CD8"/>
    <w:pPr>
      <w:numPr>
        <w:numId w:val="18"/>
      </w:numPr>
      <w:jc w:val="both"/>
    </w:pPr>
  </w:style>
  <w:style w:type="paragraph" w:styleId="Alpha4-A" w:customStyle="1">
    <w:name w:val="Alpha 4-(A)"/>
    <w:basedOn w:val="Normal"/>
    <w:rsid w:val="00321CD8"/>
    <w:pPr>
      <w:numPr>
        <w:numId w:val="19"/>
      </w:numPr>
      <w:jc w:val="both"/>
    </w:pPr>
  </w:style>
  <w:style w:type="paragraph" w:styleId="Alpha4-Abold" w:customStyle="1">
    <w:name w:val="Alpha 4-(A) bold"/>
    <w:basedOn w:val="Alpha4-A"/>
    <w:next w:val="Body4"/>
    <w:rsid w:val="00321CD8"/>
    <w:pPr>
      <w:keepNext/>
      <w:numPr>
        <w:numId w:val="20"/>
      </w:numPr>
    </w:pPr>
    <w:rPr>
      <w:b/>
    </w:rPr>
  </w:style>
  <w:style w:type="paragraph" w:styleId="Alpha4-Aitalic" w:customStyle="1">
    <w:name w:val="Alpha 4-(A) italic"/>
    <w:basedOn w:val="Normal"/>
    <w:rsid w:val="00321CD8"/>
    <w:pPr>
      <w:numPr>
        <w:numId w:val="21"/>
      </w:numPr>
      <w:jc w:val="both"/>
    </w:pPr>
    <w:rPr>
      <w:i/>
    </w:rPr>
  </w:style>
  <w:style w:type="paragraph" w:styleId="Alpha5-a0" w:customStyle="1">
    <w:name w:val="Alpha 5-(a)"/>
    <w:basedOn w:val="Normal"/>
    <w:rsid w:val="00321CD8"/>
    <w:pPr>
      <w:numPr>
        <w:numId w:val="22"/>
      </w:numPr>
      <w:jc w:val="both"/>
    </w:pPr>
  </w:style>
  <w:style w:type="paragraph" w:styleId="Alpha5-A" w:customStyle="1">
    <w:name w:val="Alpha 5-(A)"/>
    <w:basedOn w:val="Normal"/>
    <w:rsid w:val="00321CD8"/>
    <w:pPr>
      <w:numPr>
        <w:numId w:val="23"/>
      </w:numPr>
      <w:jc w:val="both"/>
    </w:pPr>
  </w:style>
  <w:style w:type="paragraph" w:styleId="Alpha5-Abold" w:customStyle="1">
    <w:name w:val="Alpha 5-(A) bold"/>
    <w:basedOn w:val="Alpha5-A"/>
    <w:next w:val="Body5"/>
    <w:rsid w:val="00321CD8"/>
    <w:pPr>
      <w:keepNext/>
      <w:numPr>
        <w:numId w:val="24"/>
      </w:numPr>
    </w:pPr>
    <w:rPr>
      <w:b/>
    </w:rPr>
  </w:style>
  <w:style w:type="paragraph" w:styleId="Alpha5-Aitalic" w:customStyle="1">
    <w:name w:val="Alpha 5-(A) italic"/>
    <w:basedOn w:val="Normal"/>
    <w:rsid w:val="00321CD8"/>
    <w:pPr>
      <w:numPr>
        <w:numId w:val="25"/>
      </w:numPr>
      <w:jc w:val="both"/>
    </w:pPr>
    <w:rPr>
      <w:i/>
    </w:rPr>
  </w:style>
  <w:style w:type="paragraph" w:styleId="Arabic2-10" w:customStyle="1">
    <w:name w:val="Arabic 2-(1)"/>
    <w:basedOn w:val="Normal"/>
    <w:rsid w:val="00321CD8"/>
    <w:pPr>
      <w:numPr>
        <w:numId w:val="26"/>
      </w:numPr>
      <w:jc w:val="both"/>
    </w:pPr>
  </w:style>
  <w:style w:type="paragraph" w:styleId="Arabic2-1" w:customStyle="1">
    <w:name w:val="Arabic 2-1."/>
    <w:basedOn w:val="Normal"/>
    <w:rsid w:val="00321CD8"/>
    <w:pPr>
      <w:numPr>
        <w:numId w:val="27"/>
      </w:numPr>
      <w:jc w:val="both"/>
    </w:pPr>
  </w:style>
  <w:style w:type="paragraph" w:styleId="Arabic3-1" w:customStyle="1">
    <w:name w:val="Arabic 3-(1)"/>
    <w:basedOn w:val="Normal"/>
    <w:rsid w:val="00321CD8"/>
    <w:pPr>
      <w:numPr>
        <w:numId w:val="28"/>
      </w:numPr>
      <w:jc w:val="both"/>
    </w:pPr>
  </w:style>
  <w:style w:type="paragraph" w:styleId="Arabic3-10" w:customStyle="1">
    <w:name w:val="Arabic 3-1."/>
    <w:basedOn w:val="Normal"/>
    <w:rsid w:val="00321CD8"/>
    <w:pPr>
      <w:numPr>
        <w:numId w:val="29"/>
      </w:numPr>
      <w:jc w:val="both"/>
    </w:pPr>
  </w:style>
  <w:style w:type="paragraph" w:styleId="Arabic4-10" w:customStyle="1">
    <w:name w:val="Arabic 4-(1)"/>
    <w:basedOn w:val="Normal"/>
    <w:rsid w:val="00321CD8"/>
    <w:pPr>
      <w:numPr>
        <w:numId w:val="30"/>
      </w:numPr>
      <w:jc w:val="both"/>
    </w:pPr>
  </w:style>
  <w:style w:type="paragraph" w:styleId="Arabic4-1" w:customStyle="1">
    <w:name w:val="Arabic 4-1."/>
    <w:basedOn w:val="Normal"/>
    <w:rsid w:val="00321CD8"/>
    <w:pPr>
      <w:numPr>
        <w:numId w:val="31"/>
      </w:numPr>
      <w:jc w:val="both"/>
    </w:pPr>
  </w:style>
  <w:style w:type="paragraph" w:styleId="Arabic5-10" w:customStyle="1">
    <w:name w:val="Arabic 5-(1)"/>
    <w:basedOn w:val="Normal"/>
    <w:rsid w:val="00321CD8"/>
    <w:pPr>
      <w:numPr>
        <w:numId w:val="32"/>
      </w:numPr>
      <w:jc w:val="both"/>
    </w:pPr>
  </w:style>
  <w:style w:type="paragraph" w:styleId="Arabic5-1" w:customStyle="1">
    <w:name w:val="Arabic 5-1."/>
    <w:basedOn w:val="Normal"/>
    <w:rsid w:val="00321CD8"/>
    <w:pPr>
      <w:numPr>
        <w:numId w:val="33"/>
      </w:numPr>
      <w:jc w:val="both"/>
    </w:pPr>
  </w:style>
  <w:style w:type="paragraph" w:styleId="Arabic6-10" w:customStyle="1">
    <w:name w:val="Arabic 6-(1)"/>
    <w:basedOn w:val="Normal"/>
    <w:rsid w:val="00321CD8"/>
    <w:pPr>
      <w:numPr>
        <w:numId w:val="34"/>
      </w:numPr>
      <w:jc w:val="both"/>
    </w:pPr>
  </w:style>
  <w:style w:type="paragraph" w:styleId="Arabic6-1" w:customStyle="1">
    <w:name w:val="Arabic 6-1."/>
    <w:basedOn w:val="Normal"/>
    <w:rsid w:val="00321CD8"/>
    <w:pPr>
      <w:numPr>
        <w:numId w:val="35"/>
      </w:numPr>
      <w:jc w:val="both"/>
    </w:pPr>
  </w:style>
  <w:style w:type="paragraph" w:styleId="Body1" w:customStyle="1">
    <w:name w:val="Body 1"/>
    <w:basedOn w:val="Body"/>
    <w:rsid w:val="00321CD8"/>
  </w:style>
  <w:style w:type="paragraph" w:styleId="Body2" w:customStyle="1">
    <w:name w:val="Body 2"/>
    <w:basedOn w:val="Body"/>
    <w:rsid w:val="00321CD8"/>
    <w:pPr>
      <w:ind w:left="992"/>
    </w:pPr>
  </w:style>
  <w:style w:type="paragraph" w:styleId="Body3" w:customStyle="1">
    <w:name w:val="Body 3"/>
    <w:basedOn w:val="Body"/>
    <w:rsid w:val="00321CD8"/>
    <w:pPr>
      <w:ind w:left="1559"/>
    </w:pPr>
  </w:style>
  <w:style w:type="paragraph" w:styleId="Body4" w:customStyle="1">
    <w:name w:val="Body 4"/>
    <w:basedOn w:val="Body"/>
    <w:rsid w:val="00321CD8"/>
    <w:pPr>
      <w:ind w:left="2126"/>
    </w:pPr>
  </w:style>
  <w:style w:type="paragraph" w:styleId="Body5" w:customStyle="1">
    <w:name w:val="Body 5"/>
    <w:basedOn w:val="Body"/>
    <w:rsid w:val="00321CD8"/>
    <w:pPr>
      <w:ind w:left="2693"/>
    </w:pPr>
  </w:style>
  <w:style w:type="paragraph" w:styleId="Body6" w:customStyle="1">
    <w:name w:val="Body 6"/>
    <w:basedOn w:val="Body"/>
    <w:rsid w:val="00321CD8"/>
    <w:pPr>
      <w:ind w:left="3260"/>
    </w:pPr>
  </w:style>
  <w:style w:type="paragraph" w:styleId="Body-G" w:customStyle="1">
    <w:name w:val="Body-G"/>
    <w:basedOn w:val="Normal"/>
    <w:rsid w:val="00321CD8"/>
    <w:pPr>
      <w:tabs>
        <w:tab w:val="left" w:pos="851"/>
      </w:tabs>
      <w:spacing w:after="120"/>
      <w:ind w:firstLine="425"/>
      <w:jc w:val="both"/>
    </w:pPr>
    <w:rPr>
      <w:lang w:val="de-DE"/>
    </w:rPr>
  </w:style>
  <w:style w:type="paragraph" w:styleId="BodyIndent" w:customStyle="1">
    <w:name w:val="Body Indent"/>
    <w:basedOn w:val="Body-G"/>
    <w:rsid w:val="00321CD8"/>
    <w:pPr>
      <w:ind w:left="425" w:firstLine="567"/>
    </w:pPr>
    <w:rPr>
      <w:lang w:val="en-GB"/>
    </w:rPr>
  </w:style>
  <w:style w:type="paragraph" w:styleId="bullet2" w:customStyle="1">
    <w:name w:val="bullet 2"/>
    <w:basedOn w:val="Normal"/>
    <w:rsid w:val="00321CD8"/>
    <w:pPr>
      <w:numPr>
        <w:numId w:val="36"/>
      </w:numPr>
      <w:jc w:val="both"/>
    </w:pPr>
  </w:style>
  <w:style w:type="paragraph" w:styleId="bullet3" w:customStyle="1">
    <w:name w:val="bullet 3"/>
    <w:basedOn w:val="Normal"/>
    <w:rsid w:val="00321CD8"/>
    <w:pPr>
      <w:numPr>
        <w:numId w:val="37"/>
      </w:numPr>
      <w:jc w:val="both"/>
    </w:pPr>
  </w:style>
  <w:style w:type="paragraph" w:styleId="bullet4" w:customStyle="1">
    <w:name w:val="bullet 4"/>
    <w:basedOn w:val="Normal"/>
    <w:rsid w:val="00321CD8"/>
    <w:pPr>
      <w:numPr>
        <w:numId w:val="38"/>
      </w:numPr>
      <w:jc w:val="both"/>
    </w:pPr>
  </w:style>
  <w:style w:type="paragraph" w:styleId="bullet5" w:customStyle="1">
    <w:name w:val="bullet 5"/>
    <w:basedOn w:val="Normal"/>
    <w:rsid w:val="00321CD8"/>
    <w:pPr>
      <w:numPr>
        <w:numId w:val="39"/>
      </w:numPr>
      <w:jc w:val="both"/>
    </w:pPr>
  </w:style>
  <w:style w:type="paragraph" w:styleId="bullet6" w:customStyle="1">
    <w:name w:val="bullet 6"/>
    <w:basedOn w:val="Normal"/>
    <w:rsid w:val="00321CD8"/>
    <w:pPr>
      <w:numPr>
        <w:numId w:val="40"/>
      </w:numPr>
      <w:jc w:val="both"/>
    </w:pPr>
  </w:style>
  <w:style w:type="paragraph" w:styleId="CellBody" w:customStyle="1">
    <w:name w:val="CellBody"/>
    <w:basedOn w:val="Normal"/>
    <w:rsid w:val="00321CD8"/>
    <w:pPr>
      <w:spacing w:before="40" w:after="40"/>
    </w:pPr>
  </w:style>
  <w:style w:type="paragraph" w:styleId="CellBodyIndent1" w:customStyle="1">
    <w:name w:val="CellBody Indent 1"/>
    <w:basedOn w:val="CellBody"/>
    <w:rsid w:val="00321CD8"/>
    <w:pPr>
      <w:ind w:left="170"/>
    </w:pPr>
  </w:style>
  <w:style w:type="paragraph" w:styleId="CellBodyIndent2" w:customStyle="1">
    <w:name w:val="CellBody Indent 2"/>
    <w:basedOn w:val="CellBody"/>
    <w:rsid w:val="00321CD8"/>
    <w:pPr>
      <w:ind w:left="340"/>
    </w:pPr>
  </w:style>
  <w:style w:type="paragraph" w:styleId="CellBodyIndent3" w:customStyle="1">
    <w:name w:val="CellBody Indent 3"/>
    <w:basedOn w:val="CellBody"/>
    <w:rsid w:val="00321CD8"/>
    <w:pPr>
      <w:ind w:left="510"/>
    </w:pPr>
  </w:style>
  <w:style w:type="paragraph" w:styleId="CellHead" w:customStyle="1">
    <w:name w:val="CellHead"/>
    <w:basedOn w:val="Normal"/>
    <w:rsid w:val="00321CD8"/>
    <w:pPr>
      <w:keepNext/>
      <w:spacing w:before="40" w:after="120"/>
    </w:pPr>
    <w:rPr>
      <w:b/>
    </w:rPr>
  </w:style>
  <w:style w:type="paragraph" w:styleId="Cell-Headitalic" w:customStyle="1">
    <w:name w:val="Cell-Headitalic"/>
    <w:basedOn w:val="CellHead"/>
    <w:rsid w:val="00321CD8"/>
    <w:pPr>
      <w:jc w:val="center"/>
    </w:pPr>
    <w:rPr>
      <w:b w:val="0"/>
      <w:i/>
    </w:rPr>
  </w:style>
  <w:style w:type="paragraph" w:styleId="CellNumber" w:customStyle="1">
    <w:name w:val="CellNumber"/>
    <w:basedOn w:val="CellBody"/>
    <w:rsid w:val="00321CD8"/>
    <w:pPr>
      <w:numPr>
        <w:numId w:val="41"/>
      </w:numPr>
    </w:pPr>
  </w:style>
  <w:style w:type="paragraph" w:styleId="CellRowSpacer" w:customStyle="1">
    <w:name w:val="CellRowSpacer"/>
    <w:basedOn w:val="Normal"/>
    <w:rsid w:val="00321CD8"/>
    <w:pPr>
      <w:spacing w:before="40" w:after="40"/>
    </w:pPr>
  </w:style>
  <w:style w:type="paragraph" w:styleId="Date">
    <w:name w:val="Date"/>
    <w:basedOn w:val="Normal"/>
    <w:next w:val="Normal"/>
    <w:link w:val="DateChar"/>
    <w:rsid w:val="00321CD8"/>
  </w:style>
  <w:style w:type="character" w:styleId="DateChar" w:customStyle="1">
    <w:name w:val="Date Char"/>
    <w:basedOn w:val="DefaultParagraphFont"/>
    <w:link w:val="Date"/>
    <w:rsid w:val="00321CD8"/>
    <w:rPr>
      <w:rFonts w:eastAsia="Times New Roman"/>
      <w:kern w:val="20"/>
      <w:lang w:eastAsia="en-US"/>
    </w:rPr>
  </w:style>
  <w:style w:type="paragraph" w:styleId="DocumentMap">
    <w:name w:val="Document Map"/>
    <w:basedOn w:val="Normal"/>
    <w:link w:val="DocumentMapChar"/>
    <w:semiHidden/>
    <w:rsid w:val="00321CD8"/>
    <w:pPr>
      <w:shd w:val="clear" w:color="auto" w:fill="000080"/>
    </w:pPr>
    <w:rPr>
      <w:rFonts w:ascii="Tahoma" w:hAnsi="Tahoma" w:cs="Tahoma"/>
    </w:rPr>
  </w:style>
  <w:style w:type="character" w:styleId="DocumentMapChar" w:customStyle="1">
    <w:name w:val="Document Map Char"/>
    <w:basedOn w:val="DefaultParagraphFont"/>
    <w:link w:val="DocumentMap"/>
    <w:semiHidden/>
    <w:rsid w:val="00321CD8"/>
    <w:rPr>
      <w:rFonts w:ascii="Tahoma" w:hAnsi="Tahoma" w:eastAsia="Times New Roman" w:cs="Tahoma"/>
      <w:kern w:val="20"/>
      <w:shd w:val="clear" w:color="auto" w:fill="000080"/>
      <w:lang w:eastAsia="en-US"/>
    </w:rPr>
  </w:style>
  <w:style w:type="character" w:styleId="EndnoteReference">
    <w:name w:val="endnote reference"/>
    <w:basedOn w:val="DefaultParagraphFont"/>
    <w:semiHidden/>
    <w:rsid w:val="00321CD8"/>
    <w:rPr>
      <w:rFonts w:ascii="Arial" w:hAnsi="Arial"/>
      <w:vertAlign w:val="superscript"/>
    </w:rPr>
  </w:style>
  <w:style w:type="paragraph" w:styleId="EndnoteText">
    <w:name w:val="endnote text"/>
    <w:basedOn w:val="Normal"/>
    <w:link w:val="EndnoteTextChar"/>
    <w:semiHidden/>
    <w:rsid w:val="00321CD8"/>
  </w:style>
  <w:style w:type="character" w:styleId="EndnoteTextChar" w:customStyle="1">
    <w:name w:val="Endnote Text Char"/>
    <w:basedOn w:val="DefaultParagraphFont"/>
    <w:link w:val="EndnoteText"/>
    <w:semiHidden/>
    <w:rsid w:val="00321CD8"/>
    <w:rPr>
      <w:rFonts w:eastAsia="Times New Roman"/>
      <w:kern w:val="20"/>
      <w:lang w:eastAsia="en-US"/>
    </w:rPr>
  </w:style>
  <w:style w:type="character" w:styleId="FollowedHyperlink">
    <w:name w:val="FollowedHyperlink"/>
    <w:basedOn w:val="DefaultParagraphFont"/>
    <w:rsid w:val="00321CD8"/>
    <w:rPr>
      <w:color w:val="AF005F"/>
      <w:u w:val="none"/>
    </w:rPr>
  </w:style>
  <w:style w:type="character" w:styleId="FootnoteReference">
    <w:name w:val="footnote reference"/>
    <w:basedOn w:val="DefaultParagraphFont"/>
    <w:rsid w:val="00321CD8"/>
    <w:rPr>
      <w:vertAlign w:val="superscript"/>
    </w:rPr>
  </w:style>
  <w:style w:type="paragraph" w:styleId="FootnoteText">
    <w:name w:val="footnote text"/>
    <w:basedOn w:val="Normal"/>
    <w:link w:val="FootnoteTextChar"/>
    <w:rsid w:val="00321CD8"/>
    <w:pPr>
      <w:keepLines/>
      <w:tabs>
        <w:tab w:val="left" w:pos="227"/>
      </w:tabs>
      <w:spacing w:after="60" w:line="200" w:lineRule="atLeast"/>
      <w:ind w:left="227" w:hanging="227"/>
      <w:jc w:val="both"/>
    </w:pPr>
    <w:rPr>
      <w:sz w:val="16"/>
    </w:rPr>
  </w:style>
  <w:style w:type="character" w:styleId="FootnoteTextChar" w:customStyle="1">
    <w:name w:val="Footnote Text Char"/>
    <w:basedOn w:val="DefaultParagraphFont"/>
    <w:link w:val="FootnoteText"/>
    <w:rsid w:val="00321CD8"/>
    <w:rPr>
      <w:rFonts w:eastAsia="Times New Roman"/>
      <w:kern w:val="20"/>
      <w:sz w:val="16"/>
      <w:lang w:eastAsia="en-US"/>
    </w:rPr>
  </w:style>
  <w:style w:type="paragraph" w:styleId="FPTableCentre" w:customStyle="1">
    <w:name w:val="FP Table Centre"/>
    <w:basedOn w:val="Normal"/>
    <w:rsid w:val="00321CD8"/>
    <w:pPr>
      <w:keepNext/>
      <w:keepLines/>
      <w:spacing w:after="120"/>
      <w:jc w:val="center"/>
      <w:outlineLvl w:val="0"/>
    </w:pPr>
    <w:rPr>
      <w:b/>
    </w:rPr>
  </w:style>
  <w:style w:type="character" w:styleId="Heading1Char" w:customStyle="1">
    <w:name w:val="Heading 1 Char"/>
    <w:basedOn w:val="DefaultParagraphFont"/>
    <w:link w:val="Heading1"/>
    <w:rsid w:val="00321CD8"/>
    <w:rPr>
      <w:rFonts w:eastAsia="Times New Roman"/>
      <w:kern w:val="20"/>
      <w:lang w:eastAsia="en-US"/>
    </w:rPr>
  </w:style>
  <w:style w:type="character" w:styleId="Heading2Char" w:customStyle="1">
    <w:name w:val="Heading 2 Char"/>
    <w:basedOn w:val="DefaultParagraphFont"/>
    <w:link w:val="Heading2"/>
    <w:rsid w:val="00321CD8"/>
    <w:rPr>
      <w:rFonts w:eastAsia="Times New Roman"/>
      <w:kern w:val="20"/>
      <w:lang w:eastAsia="en-US"/>
    </w:rPr>
  </w:style>
  <w:style w:type="character" w:styleId="Heading3Char" w:customStyle="1">
    <w:name w:val="Heading 3 Char"/>
    <w:basedOn w:val="DefaultParagraphFont"/>
    <w:link w:val="Heading3"/>
    <w:rsid w:val="00321CD8"/>
    <w:rPr>
      <w:rFonts w:eastAsia="Times New Roman"/>
      <w:kern w:val="20"/>
      <w:lang w:eastAsia="en-US"/>
    </w:rPr>
  </w:style>
  <w:style w:type="character" w:styleId="Heading4Char" w:customStyle="1">
    <w:name w:val="Heading 4 Char"/>
    <w:basedOn w:val="DefaultParagraphFont"/>
    <w:link w:val="Heading4"/>
    <w:rsid w:val="00321CD8"/>
    <w:rPr>
      <w:rFonts w:eastAsia="Times New Roman"/>
      <w:kern w:val="20"/>
      <w:lang w:eastAsia="en-US"/>
    </w:rPr>
  </w:style>
  <w:style w:type="character" w:styleId="Heading5Char" w:customStyle="1">
    <w:name w:val="Heading 5 Char"/>
    <w:basedOn w:val="DefaultParagraphFont"/>
    <w:link w:val="Heading5"/>
    <w:rsid w:val="00321CD8"/>
    <w:rPr>
      <w:rFonts w:eastAsia="Times New Roman"/>
      <w:kern w:val="20"/>
      <w:lang w:eastAsia="en-US"/>
    </w:rPr>
  </w:style>
  <w:style w:type="character" w:styleId="Heading6Char" w:customStyle="1">
    <w:name w:val="Heading 6 Char"/>
    <w:basedOn w:val="DefaultParagraphFont"/>
    <w:link w:val="Heading6"/>
    <w:rsid w:val="00321CD8"/>
    <w:rPr>
      <w:rFonts w:eastAsia="Times New Roman"/>
      <w:kern w:val="20"/>
      <w:lang w:eastAsia="en-US"/>
    </w:rPr>
  </w:style>
  <w:style w:type="character" w:styleId="Heading7Char" w:customStyle="1">
    <w:name w:val="Heading 7 Char"/>
    <w:basedOn w:val="DefaultParagraphFont"/>
    <w:link w:val="Heading7"/>
    <w:rsid w:val="00321CD8"/>
    <w:rPr>
      <w:rFonts w:eastAsia="Times New Roman"/>
      <w:kern w:val="20"/>
      <w:lang w:eastAsia="en-US"/>
    </w:rPr>
  </w:style>
  <w:style w:type="character" w:styleId="Heading8Char" w:customStyle="1">
    <w:name w:val="Heading 8 Char"/>
    <w:basedOn w:val="DefaultParagraphFont"/>
    <w:link w:val="Heading8"/>
    <w:rsid w:val="00321CD8"/>
    <w:rPr>
      <w:rFonts w:eastAsia="Times New Roman"/>
      <w:kern w:val="20"/>
      <w:lang w:eastAsia="en-US"/>
    </w:rPr>
  </w:style>
  <w:style w:type="character" w:styleId="Heading9Char" w:customStyle="1">
    <w:name w:val="Heading 9 Char"/>
    <w:basedOn w:val="DefaultParagraphFont"/>
    <w:link w:val="Heading9"/>
    <w:rsid w:val="00321CD8"/>
    <w:rPr>
      <w:rFonts w:eastAsia="Times New Roman"/>
      <w:kern w:val="20"/>
      <w:lang w:eastAsia="en-US"/>
    </w:rPr>
  </w:style>
  <w:style w:type="character" w:styleId="Hyperlink">
    <w:name w:val="Hyperlink"/>
    <w:basedOn w:val="DefaultParagraphFont"/>
    <w:rsid w:val="00321CD8"/>
    <w:rPr>
      <w:color w:val="AF005F"/>
      <w:u w:val="none"/>
    </w:rPr>
  </w:style>
  <w:style w:type="paragraph" w:styleId="Level1" w:customStyle="1">
    <w:name w:val="Level 1"/>
    <w:basedOn w:val="Normal"/>
    <w:rsid w:val="00321CD8"/>
    <w:pPr>
      <w:numPr>
        <w:numId w:val="43"/>
      </w:numPr>
      <w:jc w:val="both"/>
      <w:outlineLvl w:val="0"/>
    </w:pPr>
    <w:rPr>
      <w:bCs/>
    </w:rPr>
  </w:style>
  <w:style w:type="paragraph" w:styleId="Level2" w:customStyle="1">
    <w:name w:val="Level 2"/>
    <w:basedOn w:val="Normal"/>
    <w:rsid w:val="00321CD8"/>
    <w:pPr>
      <w:numPr>
        <w:ilvl w:val="1"/>
        <w:numId w:val="43"/>
      </w:numPr>
      <w:jc w:val="both"/>
    </w:pPr>
    <w:rPr>
      <w:szCs w:val="28"/>
    </w:rPr>
  </w:style>
  <w:style w:type="paragraph" w:styleId="Level3" w:customStyle="1">
    <w:name w:val="Level 3"/>
    <w:basedOn w:val="Normal"/>
    <w:rsid w:val="00321CD8"/>
    <w:pPr>
      <w:numPr>
        <w:ilvl w:val="2"/>
        <w:numId w:val="43"/>
      </w:numPr>
      <w:jc w:val="both"/>
    </w:pPr>
    <w:rPr>
      <w:szCs w:val="28"/>
    </w:rPr>
  </w:style>
  <w:style w:type="paragraph" w:styleId="Level4" w:customStyle="1">
    <w:name w:val="Level 4"/>
    <w:basedOn w:val="Normal"/>
    <w:rsid w:val="00321CD8"/>
    <w:pPr>
      <w:numPr>
        <w:ilvl w:val="3"/>
        <w:numId w:val="43"/>
      </w:numPr>
      <w:jc w:val="both"/>
    </w:pPr>
  </w:style>
  <w:style w:type="paragraph" w:styleId="Level5" w:customStyle="1">
    <w:name w:val="Level 5"/>
    <w:basedOn w:val="Normal"/>
    <w:rsid w:val="00321CD8"/>
    <w:pPr>
      <w:numPr>
        <w:ilvl w:val="4"/>
        <w:numId w:val="43"/>
      </w:numPr>
      <w:jc w:val="both"/>
    </w:pPr>
  </w:style>
  <w:style w:type="paragraph" w:styleId="Level6" w:customStyle="1">
    <w:name w:val="Level 6"/>
    <w:basedOn w:val="Normal"/>
    <w:rsid w:val="00321CD8"/>
    <w:pPr>
      <w:numPr>
        <w:ilvl w:val="5"/>
        <w:numId w:val="43"/>
      </w:numPr>
      <w:jc w:val="both"/>
    </w:pPr>
  </w:style>
  <w:style w:type="paragraph" w:styleId="MacroText">
    <w:name w:val="macro"/>
    <w:link w:val="MacroTextChar"/>
    <w:semiHidden/>
    <w:rsid w:val="00321CD8"/>
    <w:pPr>
      <w:tabs>
        <w:tab w:val="left" w:pos="480"/>
        <w:tab w:val="left" w:pos="960"/>
        <w:tab w:val="left" w:pos="1440"/>
        <w:tab w:val="left" w:pos="1920"/>
        <w:tab w:val="left" w:pos="2400"/>
        <w:tab w:val="left" w:pos="2880"/>
        <w:tab w:val="left" w:pos="3360"/>
        <w:tab w:val="left" w:pos="3840"/>
        <w:tab w:val="left" w:pos="4320"/>
      </w:tabs>
      <w:spacing w:line="290" w:lineRule="auto"/>
    </w:pPr>
    <w:rPr>
      <w:rFonts w:ascii="Courier New" w:hAnsi="Courier New" w:eastAsia="Times New Roman" w:cs="Courier New"/>
      <w:kern w:val="20"/>
      <w:lang w:eastAsia="en-US"/>
    </w:rPr>
  </w:style>
  <w:style w:type="character" w:styleId="MacroTextChar" w:customStyle="1">
    <w:name w:val="Macro Text Char"/>
    <w:basedOn w:val="DefaultParagraphFont"/>
    <w:link w:val="MacroText"/>
    <w:semiHidden/>
    <w:rsid w:val="00321CD8"/>
    <w:rPr>
      <w:rFonts w:ascii="Courier New" w:hAnsi="Courier New" w:eastAsia="Times New Roman" w:cs="Courier New"/>
      <w:kern w:val="20"/>
      <w:lang w:eastAsia="en-US"/>
    </w:rPr>
  </w:style>
  <w:style w:type="paragraph" w:styleId="Parties" w:customStyle="1">
    <w:name w:val="Parties"/>
    <w:basedOn w:val="FPTableLeft"/>
    <w:rsid w:val="00321CD8"/>
    <w:pPr>
      <w:spacing w:after="140"/>
      <w:jc w:val="center"/>
    </w:pPr>
    <w:rPr>
      <w:sz w:val="17"/>
    </w:rPr>
  </w:style>
  <w:style w:type="paragraph" w:styleId="Roman2-I1" w:customStyle="1">
    <w:name w:val="Roman 2-(I)"/>
    <w:basedOn w:val="Normal"/>
    <w:rsid w:val="00321CD8"/>
    <w:pPr>
      <w:numPr>
        <w:numId w:val="46"/>
      </w:numPr>
      <w:jc w:val="both"/>
    </w:pPr>
  </w:style>
  <w:style w:type="paragraph" w:styleId="Roman2-I0" w:customStyle="1">
    <w:name w:val="Roman 2-I"/>
    <w:basedOn w:val="Normal"/>
    <w:rsid w:val="00321CD8"/>
    <w:pPr>
      <w:numPr>
        <w:numId w:val="47"/>
      </w:numPr>
      <w:jc w:val="both"/>
    </w:pPr>
  </w:style>
  <w:style w:type="paragraph" w:styleId="Roman3-i" w:customStyle="1">
    <w:name w:val="Roman 3-(i)"/>
    <w:basedOn w:val="Normal"/>
    <w:rsid w:val="00321CD8"/>
    <w:pPr>
      <w:numPr>
        <w:numId w:val="48"/>
      </w:numPr>
      <w:jc w:val="both"/>
    </w:pPr>
  </w:style>
  <w:style w:type="paragraph" w:styleId="Roman3-I1" w:customStyle="1">
    <w:name w:val="Roman 3-(I)"/>
    <w:basedOn w:val="Normal"/>
    <w:rsid w:val="00321CD8"/>
    <w:pPr>
      <w:numPr>
        <w:numId w:val="49"/>
      </w:numPr>
      <w:jc w:val="both"/>
    </w:pPr>
  </w:style>
  <w:style w:type="paragraph" w:styleId="Roman3-I0" w:customStyle="1">
    <w:name w:val="Roman 3-I"/>
    <w:basedOn w:val="Normal"/>
    <w:rsid w:val="00321CD8"/>
    <w:pPr>
      <w:numPr>
        <w:numId w:val="50"/>
      </w:numPr>
      <w:jc w:val="both"/>
    </w:pPr>
  </w:style>
  <w:style w:type="paragraph" w:styleId="Roman4-i1" w:customStyle="1">
    <w:name w:val="Roman 4-(i)"/>
    <w:basedOn w:val="Normal"/>
    <w:rsid w:val="00321CD8"/>
    <w:pPr>
      <w:numPr>
        <w:numId w:val="51"/>
      </w:numPr>
      <w:jc w:val="both"/>
    </w:pPr>
  </w:style>
  <w:style w:type="paragraph" w:styleId="Roman4-I0" w:customStyle="1">
    <w:name w:val="Roman 4-(I)"/>
    <w:basedOn w:val="Normal"/>
    <w:rsid w:val="00321CD8"/>
    <w:pPr>
      <w:numPr>
        <w:numId w:val="52"/>
      </w:numPr>
      <w:jc w:val="both"/>
    </w:pPr>
  </w:style>
  <w:style w:type="paragraph" w:styleId="Roman4-I" w:customStyle="1">
    <w:name w:val="Roman 4-I"/>
    <w:basedOn w:val="Normal"/>
    <w:rsid w:val="00321CD8"/>
    <w:pPr>
      <w:numPr>
        <w:numId w:val="53"/>
      </w:numPr>
      <w:jc w:val="both"/>
    </w:pPr>
  </w:style>
  <w:style w:type="paragraph" w:styleId="Roman5-i0" w:customStyle="1">
    <w:name w:val="Roman 5-(i)"/>
    <w:basedOn w:val="Normal"/>
    <w:rsid w:val="00321CD8"/>
    <w:pPr>
      <w:numPr>
        <w:numId w:val="54"/>
      </w:numPr>
      <w:jc w:val="both"/>
    </w:pPr>
  </w:style>
  <w:style w:type="paragraph" w:styleId="Roman5-I" w:customStyle="1">
    <w:name w:val="Roman 5-(I)"/>
    <w:basedOn w:val="Normal"/>
    <w:rsid w:val="00321CD8"/>
    <w:pPr>
      <w:numPr>
        <w:numId w:val="55"/>
      </w:numPr>
      <w:jc w:val="both"/>
    </w:pPr>
  </w:style>
  <w:style w:type="paragraph" w:styleId="Roman5-I1" w:customStyle="1">
    <w:name w:val="Roman 5-I"/>
    <w:basedOn w:val="Normal"/>
    <w:rsid w:val="00321CD8"/>
    <w:pPr>
      <w:numPr>
        <w:numId w:val="56"/>
      </w:numPr>
      <w:jc w:val="both"/>
    </w:pPr>
  </w:style>
  <w:style w:type="paragraph" w:styleId="Roman6-i1" w:customStyle="1">
    <w:name w:val="Roman 6-(i)"/>
    <w:basedOn w:val="Normal"/>
    <w:rsid w:val="00321CD8"/>
    <w:pPr>
      <w:numPr>
        <w:numId w:val="57"/>
      </w:numPr>
      <w:jc w:val="both"/>
    </w:pPr>
  </w:style>
  <w:style w:type="paragraph" w:styleId="Roman6-I" w:customStyle="1">
    <w:name w:val="Roman 6-(I)"/>
    <w:basedOn w:val="Normal"/>
    <w:rsid w:val="00321CD8"/>
    <w:pPr>
      <w:numPr>
        <w:numId w:val="58"/>
      </w:numPr>
      <w:jc w:val="both"/>
    </w:pPr>
  </w:style>
  <w:style w:type="paragraph" w:styleId="Roman6-I0" w:customStyle="1">
    <w:name w:val="Roman 6-I"/>
    <w:basedOn w:val="Normal"/>
    <w:rsid w:val="00321CD8"/>
    <w:pPr>
      <w:numPr>
        <w:numId w:val="59"/>
      </w:numPr>
      <w:jc w:val="both"/>
    </w:pPr>
  </w:style>
  <w:style w:type="paragraph" w:styleId="SmCellBody" w:customStyle="1">
    <w:name w:val="SmCellBody"/>
    <w:basedOn w:val="CellBody"/>
    <w:rsid w:val="00321CD8"/>
    <w:rPr>
      <w:sz w:val="18"/>
    </w:rPr>
  </w:style>
  <w:style w:type="paragraph" w:styleId="SmCellHead" w:customStyle="1">
    <w:name w:val="SmCellHead"/>
    <w:basedOn w:val="CellHead"/>
    <w:rsid w:val="00321CD8"/>
    <w:rPr>
      <w:sz w:val="18"/>
    </w:rPr>
  </w:style>
  <w:style w:type="paragraph" w:styleId="SmCell-Headitalic" w:customStyle="1">
    <w:name w:val="SmCell-Headitalic"/>
    <w:basedOn w:val="CellHead"/>
    <w:rsid w:val="00321CD8"/>
    <w:pPr>
      <w:jc w:val="center"/>
    </w:pPr>
    <w:rPr>
      <w:b w:val="0"/>
      <w:i/>
      <w:sz w:val="18"/>
    </w:rPr>
  </w:style>
  <w:style w:type="paragraph" w:styleId="SmCellNumber" w:customStyle="1">
    <w:name w:val="SmCellNumber"/>
    <w:basedOn w:val="SmCellBody"/>
    <w:rsid w:val="00321CD8"/>
    <w:pPr>
      <w:numPr>
        <w:numId w:val="60"/>
      </w:numPr>
    </w:pPr>
  </w:style>
  <w:style w:type="paragraph" w:styleId="SubHead" w:customStyle="1">
    <w:name w:val="SubHead"/>
    <w:basedOn w:val="Normal"/>
    <w:next w:val="Body"/>
    <w:rsid w:val="00321CD8"/>
    <w:pPr>
      <w:keepNext/>
      <w:spacing w:before="175" w:after="35"/>
      <w:ind w:left="425"/>
      <w:jc w:val="both"/>
      <w:outlineLvl w:val="1"/>
    </w:pPr>
    <w:rPr>
      <w:b/>
      <w:sz w:val="21"/>
    </w:rPr>
  </w:style>
  <w:style w:type="paragraph" w:styleId="SubHeadItalic" w:customStyle="1">
    <w:name w:val="SubHeadItalic"/>
    <w:basedOn w:val="SubHead"/>
    <w:next w:val="Body"/>
    <w:rsid w:val="00321CD8"/>
    <w:rPr>
      <w:b w:val="0"/>
      <w:i/>
    </w:rPr>
  </w:style>
  <w:style w:type="paragraph" w:styleId="SubHeadItalicBold" w:customStyle="1">
    <w:name w:val="SubHeadItalicBold"/>
    <w:basedOn w:val="SubHead"/>
    <w:next w:val="Body"/>
    <w:rsid w:val="00321CD8"/>
    <w:rPr>
      <w:i/>
    </w:rPr>
  </w:style>
  <w:style w:type="paragraph" w:styleId="TableAlpha" w:customStyle="1">
    <w:name w:val="Table Alpha"/>
    <w:basedOn w:val="CellBody"/>
    <w:rsid w:val="00321CD8"/>
    <w:pPr>
      <w:numPr>
        <w:numId w:val="61"/>
      </w:numPr>
      <w:jc w:val="both"/>
    </w:pPr>
  </w:style>
  <w:style w:type="paragraph" w:styleId="TableBullet" w:customStyle="1">
    <w:name w:val="Table Bullet"/>
    <w:basedOn w:val="CellBody"/>
    <w:rsid w:val="00321CD8"/>
    <w:pPr>
      <w:numPr>
        <w:numId w:val="62"/>
      </w:numPr>
      <w:jc w:val="both"/>
    </w:pPr>
  </w:style>
  <w:style w:type="paragraph" w:styleId="TableofAuthorities">
    <w:name w:val="table of authorities"/>
    <w:basedOn w:val="Normal"/>
    <w:next w:val="Normal"/>
    <w:semiHidden/>
    <w:rsid w:val="00321CD8"/>
    <w:pPr>
      <w:ind w:left="200" w:hanging="200"/>
    </w:pPr>
  </w:style>
  <w:style w:type="paragraph" w:styleId="TableofFigures">
    <w:name w:val="table of figures"/>
    <w:basedOn w:val="Normal"/>
    <w:next w:val="Normal"/>
    <w:semiHidden/>
    <w:rsid w:val="00321CD8"/>
    <w:pPr>
      <w:ind w:left="400" w:hanging="400"/>
    </w:pPr>
  </w:style>
  <w:style w:type="paragraph" w:styleId="TableRoman" w:customStyle="1">
    <w:name w:val="Table Roman"/>
    <w:basedOn w:val="CellBody"/>
    <w:rsid w:val="00321CD8"/>
    <w:pPr>
      <w:numPr>
        <w:numId w:val="63"/>
      </w:numPr>
      <w:tabs>
        <w:tab w:val="left" w:pos="425"/>
      </w:tabs>
      <w:jc w:val="both"/>
    </w:pPr>
  </w:style>
  <w:style w:type="paragraph" w:styleId="Title">
    <w:name w:val="Title"/>
    <w:basedOn w:val="Normal"/>
    <w:link w:val="TitleChar"/>
    <w:qFormat/>
    <w:rsid w:val="00321CD8"/>
    <w:pPr>
      <w:spacing w:before="240" w:after="60"/>
      <w:jc w:val="center"/>
      <w:outlineLvl w:val="0"/>
    </w:pPr>
    <w:rPr>
      <w:b/>
      <w:bCs/>
      <w:kern w:val="28"/>
      <w:sz w:val="25"/>
      <w:szCs w:val="32"/>
    </w:rPr>
  </w:style>
  <w:style w:type="character" w:styleId="TitleChar" w:customStyle="1">
    <w:name w:val="Title Char"/>
    <w:basedOn w:val="DefaultParagraphFont"/>
    <w:link w:val="Title"/>
    <w:rsid w:val="00321CD8"/>
    <w:rPr>
      <w:rFonts w:eastAsia="Times New Roman"/>
      <w:b/>
      <w:bCs/>
      <w:kern w:val="28"/>
      <w:sz w:val="25"/>
      <w:szCs w:val="32"/>
      <w:lang w:eastAsia="en-US"/>
    </w:rPr>
  </w:style>
  <w:style w:type="paragraph" w:styleId="TOAHeading">
    <w:name w:val="toa heading"/>
    <w:basedOn w:val="Normal"/>
    <w:next w:val="Normal"/>
    <w:semiHidden/>
    <w:rsid w:val="00321CD8"/>
    <w:pPr>
      <w:spacing w:before="120"/>
    </w:pPr>
    <w:rPr>
      <w:rFonts w:ascii="Arial" w:hAnsi="Arial" w:cs="Arial"/>
      <w:b/>
      <w:bCs/>
      <w:sz w:val="24"/>
      <w:szCs w:val="24"/>
    </w:rPr>
  </w:style>
  <w:style w:type="paragraph" w:styleId="TOC2">
    <w:name w:val="toc 2"/>
    <w:basedOn w:val="Normal"/>
    <w:next w:val="Normal"/>
    <w:uiPriority w:val="39"/>
    <w:rsid w:val="00321CD8"/>
    <w:pPr>
      <w:spacing w:before="60" w:after="60"/>
      <w:ind w:left="992"/>
    </w:pPr>
  </w:style>
  <w:style w:type="paragraph" w:styleId="TOC3">
    <w:name w:val="toc 3"/>
    <w:basedOn w:val="Normal"/>
    <w:next w:val="Normal"/>
    <w:semiHidden/>
    <w:rsid w:val="00321CD8"/>
    <w:pPr>
      <w:spacing w:before="60" w:after="60"/>
      <w:ind w:left="1843"/>
    </w:pPr>
  </w:style>
  <w:style w:type="paragraph" w:styleId="TOC4">
    <w:name w:val="toc 4"/>
    <w:basedOn w:val="Normal"/>
    <w:next w:val="Normal"/>
    <w:semiHidden/>
    <w:rsid w:val="00321CD8"/>
    <w:pPr>
      <w:spacing w:before="40" w:after="40"/>
      <w:ind w:left="2268"/>
    </w:pPr>
    <w:rPr>
      <w:sz w:val="18"/>
    </w:rPr>
  </w:style>
  <w:style w:type="paragraph" w:styleId="TOC5">
    <w:name w:val="toc 5"/>
    <w:basedOn w:val="Normal"/>
    <w:next w:val="Normal"/>
    <w:semiHidden/>
    <w:rsid w:val="00321CD8"/>
    <w:pPr>
      <w:ind w:left="2693"/>
    </w:pPr>
  </w:style>
  <w:style w:type="paragraph" w:styleId="TOC6">
    <w:name w:val="toc 6"/>
    <w:basedOn w:val="Normal"/>
    <w:next w:val="Normal"/>
    <w:semiHidden/>
    <w:rsid w:val="00321CD8"/>
    <w:pPr>
      <w:ind w:left="3119"/>
    </w:pPr>
  </w:style>
  <w:style w:type="paragraph" w:styleId="TOC7">
    <w:name w:val="toc 7"/>
    <w:basedOn w:val="Normal"/>
    <w:next w:val="Normal"/>
    <w:semiHidden/>
    <w:rsid w:val="00321CD8"/>
    <w:pPr>
      <w:ind w:left="1200"/>
    </w:pPr>
    <w:rPr>
      <w:sz w:val="18"/>
    </w:rPr>
  </w:style>
  <w:style w:type="paragraph" w:styleId="TOC8">
    <w:name w:val="toc 8"/>
    <w:basedOn w:val="Normal"/>
    <w:next w:val="Normal"/>
    <w:semiHidden/>
    <w:rsid w:val="00321CD8"/>
    <w:pPr>
      <w:ind w:left="1400"/>
    </w:pPr>
    <w:rPr>
      <w:sz w:val="18"/>
    </w:rPr>
  </w:style>
  <w:style w:type="paragraph" w:styleId="TOC9">
    <w:name w:val="toc 9"/>
    <w:basedOn w:val="Normal"/>
    <w:next w:val="Normal"/>
    <w:semiHidden/>
    <w:rsid w:val="00321CD8"/>
    <w:pPr>
      <w:ind w:left="1600"/>
    </w:pPr>
    <w:rPr>
      <w:sz w:val="18"/>
    </w:rPr>
  </w:style>
  <w:style w:type="paragraph" w:styleId="VSmCellBody" w:customStyle="1">
    <w:name w:val="VSmCellBody"/>
    <w:basedOn w:val="CellBody"/>
    <w:rsid w:val="00321CD8"/>
    <w:rPr>
      <w:sz w:val="17"/>
    </w:rPr>
  </w:style>
  <w:style w:type="paragraph" w:styleId="VSmCellHead" w:customStyle="1">
    <w:name w:val="VSmCellHead"/>
    <w:basedOn w:val="CellHead"/>
    <w:rsid w:val="00321CD8"/>
    <w:rPr>
      <w:sz w:val="17"/>
    </w:rPr>
  </w:style>
  <w:style w:type="paragraph" w:styleId="VSmCell-Headitalic" w:customStyle="1">
    <w:name w:val="VSmCell-Headitalic"/>
    <w:basedOn w:val="CellHead"/>
    <w:rsid w:val="00321CD8"/>
    <w:pPr>
      <w:jc w:val="center"/>
    </w:pPr>
    <w:rPr>
      <w:b w:val="0"/>
      <w:i/>
      <w:sz w:val="17"/>
    </w:rPr>
  </w:style>
  <w:style w:type="paragraph" w:styleId="VSmCellNumber" w:customStyle="1">
    <w:name w:val="VSmCellNumber"/>
    <w:basedOn w:val="Normal"/>
    <w:rsid w:val="00321CD8"/>
    <w:pPr>
      <w:numPr>
        <w:numId w:val="64"/>
      </w:numPr>
      <w:spacing w:before="40" w:after="40"/>
    </w:pPr>
    <w:rPr>
      <w:sz w:val="17"/>
    </w:rPr>
  </w:style>
  <w:style w:type="paragraph" w:styleId="Revision">
    <w:name w:val="Revision"/>
    <w:hidden/>
    <w:uiPriority w:val="99"/>
    <w:semiHidden/>
    <w:rsid w:val="00F56C9A"/>
    <w:rPr>
      <w:rFonts w:eastAsia="Times New Roman"/>
      <w:kern w:val="20"/>
      <w:lang w:eastAsia="en-US"/>
    </w:rPr>
  </w:style>
  <w:style w:type="paragraph" w:styleId="AODocTxt" w:customStyle="1">
    <w:name w:val="AODocTxt"/>
    <w:basedOn w:val="Normal"/>
    <w:link w:val="AODocTxtChar"/>
    <w:rsid w:val="000712F2"/>
    <w:pPr>
      <w:numPr>
        <w:numId w:val="76"/>
      </w:numPr>
      <w:spacing w:before="240" w:after="0" w:line="260" w:lineRule="atLeast"/>
      <w:jc w:val="both"/>
    </w:pPr>
    <w:rPr>
      <w:rFonts w:eastAsia="SimSun"/>
      <w:kern w:val="0"/>
      <w:sz w:val="22"/>
      <w:szCs w:val="22"/>
    </w:rPr>
  </w:style>
  <w:style w:type="paragraph" w:styleId="AODocTxtL2" w:customStyle="1">
    <w:name w:val="AODocTxtL2"/>
    <w:basedOn w:val="AODocTxt"/>
    <w:rsid w:val="000712F2"/>
    <w:pPr>
      <w:numPr>
        <w:ilvl w:val="2"/>
      </w:numPr>
      <w:tabs>
        <w:tab w:val="num" w:pos="360"/>
        <w:tab w:val="num" w:pos="425"/>
      </w:tabs>
      <w:ind w:left="425" w:hanging="425"/>
    </w:pPr>
  </w:style>
  <w:style w:type="paragraph" w:styleId="AODocTxtL3" w:customStyle="1">
    <w:name w:val="AODocTxtL3"/>
    <w:basedOn w:val="AODocTxt"/>
    <w:rsid w:val="000712F2"/>
    <w:pPr>
      <w:numPr>
        <w:ilvl w:val="3"/>
      </w:numPr>
      <w:tabs>
        <w:tab w:val="num" w:pos="360"/>
        <w:tab w:val="num" w:pos="425"/>
      </w:tabs>
      <w:ind w:left="425" w:hanging="425"/>
    </w:pPr>
  </w:style>
  <w:style w:type="paragraph" w:styleId="AODocTxtL4" w:customStyle="1">
    <w:name w:val="AODocTxtL4"/>
    <w:basedOn w:val="AODocTxt"/>
    <w:rsid w:val="000712F2"/>
    <w:pPr>
      <w:numPr>
        <w:ilvl w:val="4"/>
      </w:numPr>
      <w:tabs>
        <w:tab w:val="num" w:pos="360"/>
        <w:tab w:val="num" w:pos="425"/>
      </w:tabs>
      <w:ind w:left="425" w:hanging="425"/>
    </w:pPr>
  </w:style>
  <w:style w:type="paragraph" w:styleId="AODocTxtL5" w:customStyle="1">
    <w:name w:val="AODocTxtL5"/>
    <w:basedOn w:val="AODocTxt"/>
    <w:rsid w:val="000712F2"/>
    <w:pPr>
      <w:numPr>
        <w:ilvl w:val="5"/>
      </w:numPr>
      <w:tabs>
        <w:tab w:val="num" w:pos="360"/>
        <w:tab w:val="num" w:pos="425"/>
      </w:tabs>
      <w:ind w:left="425" w:hanging="425"/>
    </w:pPr>
  </w:style>
  <w:style w:type="paragraph" w:styleId="AODocTxtL6" w:customStyle="1">
    <w:name w:val="AODocTxtL6"/>
    <w:basedOn w:val="AODocTxt"/>
    <w:rsid w:val="000712F2"/>
    <w:pPr>
      <w:numPr>
        <w:ilvl w:val="6"/>
      </w:numPr>
      <w:tabs>
        <w:tab w:val="num" w:pos="360"/>
        <w:tab w:val="num" w:pos="425"/>
      </w:tabs>
      <w:ind w:left="425" w:hanging="425"/>
    </w:pPr>
  </w:style>
  <w:style w:type="paragraph" w:styleId="AODocTxtL7" w:customStyle="1">
    <w:name w:val="AODocTxtL7"/>
    <w:basedOn w:val="AODocTxt"/>
    <w:rsid w:val="000712F2"/>
    <w:pPr>
      <w:numPr>
        <w:ilvl w:val="7"/>
      </w:numPr>
      <w:tabs>
        <w:tab w:val="num" w:pos="360"/>
        <w:tab w:val="num" w:pos="425"/>
      </w:tabs>
      <w:ind w:left="425" w:hanging="425"/>
    </w:pPr>
  </w:style>
  <w:style w:type="paragraph" w:styleId="AODocTxtL8" w:customStyle="1">
    <w:name w:val="AODocTxtL8"/>
    <w:basedOn w:val="AODocTxt"/>
    <w:rsid w:val="000712F2"/>
    <w:pPr>
      <w:numPr>
        <w:ilvl w:val="8"/>
      </w:numPr>
      <w:tabs>
        <w:tab w:val="num" w:pos="360"/>
        <w:tab w:val="num" w:pos="425"/>
      </w:tabs>
      <w:ind w:left="425" w:hanging="425"/>
    </w:pPr>
  </w:style>
  <w:style w:type="paragraph" w:styleId="AOGenNum3" w:customStyle="1">
    <w:name w:val="AOGenNum3"/>
    <w:basedOn w:val="Normal"/>
    <w:next w:val="AOGenNum3List"/>
    <w:rsid w:val="000712F2"/>
    <w:pPr>
      <w:numPr>
        <w:numId w:val="77"/>
      </w:numPr>
      <w:spacing w:before="240" w:after="0" w:line="260" w:lineRule="atLeast"/>
      <w:jc w:val="both"/>
    </w:pPr>
    <w:rPr>
      <w:rFonts w:eastAsia="SimSun"/>
      <w:kern w:val="0"/>
      <w:sz w:val="22"/>
      <w:szCs w:val="22"/>
    </w:rPr>
  </w:style>
  <w:style w:type="paragraph" w:styleId="AOGenNum3List" w:customStyle="1">
    <w:name w:val="AOGenNum3List"/>
    <w:basedOn w:val="AOGenNum3"/>
    <w:rsid w:val="000712F2"/>
    <w:pPr>
      <w:numPr>
        <w:ilvl w:val="1"/>
      </w:numPr>
    </w:pPr>
  </w:style>
  <w:style w:type="character" w:styleId="AODocTxtChar" w:customStyle="1">
    <w:name w:val="AODocTxt Char"/>
    <w:link w:val="AODocTxt"/>
    <w:rsid w:val="000712F2"/>
    <w:rPr>
      <w:sz w:val="22"/>
      <w:szCs w:val="22"/>
      <w:lang w:eastAsia="en-US"/>
    </w:rPr>
  </w:style>
  <w:style w:type="paragraph" w:styleId="ListParagraph">
    <w:name w:val="List Paragraph"/>
    <w:basedOn w:val="Normal"/>
    <w:uiPriority w:val="34"/>
    <w:qFormat/>
    <w:rsid w:val="00A86849"/>
    <w:pPr>
      <w:ind w:left="720"/>
      <w:contextualSpacing/>
    </w:pPr>
  </w:style>
  <w:style w:type="paragraph" w:styleId="wText" w:customStyle="1">
    <w:name w:val="wText"/>
    <w:basedOn w:val="Normal"/>
    <w:link w:val="wTextChar"/>
    <w:uiPriority w:val="99"/>
    <w:qFormat/>
    <w:rsid w:val="005866A4"/>
    <w:pPr>
      <w:spacing w:after="180" w:line="240" w:lineRule="auto"/>
      <w:jc w:val="both"/>
    </w:pPr>
    <w:rPr>
      <w:rFonts w:eastAsia="MS Mincho"/>
      <w:kern w:val="0"/>
      <w:szCs w:val="22"/>
      <w:lang w:val="en-US"/>
    </w:rPr>
  </w:style>
  <w:style w:type="character" w:styleId="wTextChar" w:customStyle="1">
    <w:name w:val="wText Char"/>
    <w:basedOn w:val="DefaultParagraphFont"/>
    <w:link w:val="wText"/>
    <w:uiPriority w:val="99"/>
    <w:rsid w:val="005866A4"/>
    <w:rPr>
      <w:rFonts w:eastAsia="MS Mincho"/>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9239722">
      <w:bodyDiv w:val="1"/>
      <w:marLeft w:val="0"/>
      <w:marRight w:val="0"/>
      <w:marTop w:val="0"/>
      <w:marBottom w:val="0"/>
      <w:divBdr>
        <w:top w:val="none" w:sz="0" w:space="0" w:color="auto"/>
        <w:left w:val="none" w:sz="0" w:space="0" w:color="auto"/>
        <w:bottom w:val="none" w:sz="0" w:space="0" w:color="auto"/>
        <w:right w:val="none" w:sz="0" w:space="0" w:color="auto"/>
      </w:divBdr>
    </w:div>
    <w:div w:id="1551116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header" Target="header4.xml" Id="rId18" /><Relationship Type="http://schemas.openxmlformats.org/officeDocument/2006/relationships/customXml" Target="../customXml/item3.xml" Id="rId3" /><Relationship Type="http://schemas.openxmlformats.org/officeDocument/2006/relationships/footer" Target="footer5.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footer" Target="footer4.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24"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ntTable" Target="fontTable.xml" Id="rId23" /><Relationship Type="http://schemas.openxmlformats.org/officeDocument/2006/relationships/footnotes" Target="footnotes.xml" Id="rId10" /><Relationship Type="http://schemas.openxmlformats.org/officeDocument/2006/relationships/header" Target="header5.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footer" Target="footer6.xml" Id="rId22" /></Relationships>
</file>

<file path=word/_rels/settings.xml.rels><?xml version="1.0" encoding="UTF-8" standalone="yes"?>
<Relationships xmlns="http://schemas.openxmlformats.org/package/2006/relationships"><Relationship Id="rId1" Type="http://schemas.openxmlformats.org/officeDocument/2006/relationships/attachedTemplate" Target="file:///T:\firmwide\OfferingCircular.dotx" TargetMode="External"/></Relationships>
</file>

<file path=word/theme/theme1.xml><?xml version="1.0" encoding="utf-8"?>
<a:theme xmlns:a="http://schemas.openxmlformats.org/drawingml/2006/main" name="LL HS">
  <a:themeElements>
    <a:clrScheme name="LL HS">
      <a:dk1>
        <a:srgbClr val="000000"/>
      </a:dk1>
      <a:lt1>
        <a:srgbClr val="FFFFFF"/>
      </a:lt1>
      <a:dk2>
        <a:srgbClr val="AF005F"/>
      </a:dk2>
      <a:lt2>
        <a:srgbClr val="969696"/>
      </a:lt2>
      <a:accent1>
        <a:srgbClr val="AF005F"/>
      </a:accent1>
      <a:accent2>
        <a:srgbClr val="BF337F"/>
      </a:accent2>
      <a:accent3>
        <a:srgbClr val="CC5C99"/>
      </a:accent3>
      <a:accent4>
        <a:srgbClr val="808080"/>
      </a:accent4>
      <a:accent5>
        <a:srgbClr val="969696"/>
      </a:accent5>
      <a:accent6>
        <a:srgbClr val="C3C3C3"/>
      </a:accent6>
      <a:hlink>
        <a:srgbClr val="D985B2"/>
      </a:hlink>
      <a:folHlink>
        <a:srgbClr val="ECC4DA"/>
      </a:folHlink>
    </a:clrScheme>
    <a:fontScheme name="LL HS">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ct:contentTypeSchema xmlns:ct="http://schemas.microsoft.com/office/2006/metadata/contentType" xmlns:ma="http://schemas.microsoft.com/office/2006/metadata/properties/metaAttributes" ct:_="" ma:_="" ma:contentTypeName="Document" ma:contentTypeID="0x0101004B1ADE49961EAE4FB72464E7E3E9B855" ma:contentTypeVersion="18" ma:contentTypeDescription="Create a new document." ma:contentTypeScope="" ma:versionID="044482cdef8ecbe29672e0a8c460a02e">
  <xsd:schema xmlns:xsd="http://www.w3.org/2001/XMLSchema" xmlns:xs="http://www.w3.org/2001/XMLSchema" xmlns:p="http://schemas.microsoft.com/office/2006/metadata/properties" xmlns:ns1="http://schemas.microsoft.com/sharepoint/v3" xmlns:ns2="6e51bd61-278f-49c3-9a47-187b121cc040" xmlns:ns3="98308a57-441d-49a3-904c-d2f273ba61b8" targetNamespace="http://schemas.microsoft.com/office/2006/metadata/properties" ma:root="true" ma:fieldsID="849447d1b132e2f62c7956a4ee8aa5b6" ns1:_="" ns2:_="" ns3:_="">
    <xsd:import namespace="http://schemas.microsoft.com/sharepoint/v3"/>
    <xsd:import namespace="6e51bd61-278f-49c3-9a47-187b121cc040"/>
    <xsd:import namespace="98308a57-441d-49a3-904c-d2f273ba61b8"/>
    <xsd:element name="properties">
      <xsd:complexType>
        <xsd:sequence>
          <xsd:element name="documentManagement">
            <xsd:complexType>
              <xsd:all>
                <xsd:element ref="ns1:_ip_UnifiedCompliancePolicyProperties" minOccurs="0"/>
                <xsd:element ref="ns1:_ip_UnifiedCompliancePolicyUIAction"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lcf76f155ced4ddcb4097134ff3c332f" minOccurs="0"/>
                <xsd:element ref="ns2:TaxCatchAl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description="" ma:hidden="true" ma:internalName="_ip_UnifiedCompliancePolicyProperties">
      <xsd:simpleType>
        <xsd:restriction base="dms:Note"/>
      </xsd:simpleType>
    </xsd:element>
    <xsd:element name="_ip_UnifiedCompliancePolicyUIAction" ma:index="9"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51bd61-278f-49c3-9a47-187b121cc04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3be58801-edbe-4e35-868d-69f5e1d88a14}" ma:internalName="TaxCatchAll" ma:showField="CatchAllData" ma:web="6e51bd61-278f-49c3-9a47-187b121cc04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308a57-441d-49a3-904c-d2f273ba61b8"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2538cac-bec8-42c2-86cf-4c0e302fefa3"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6e51bd61-278f-49c3-9a47-187b121cc040" xsi:nil="true"/>
    <lcf76f155ced4ddcb4097134ff3c332f xmlns="98308a57-441d-49a3-904c-d2f273ba61b8">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9AF8CBD-1C0B-44F2-BB88-58D8E4953CB2}">
  <ds:schemaRefs>
    <ds:schemaRef ds:uri="http://schemas.microsoft.com/office/2006/customDocumentInformationPanel"/>
  </ds:schemaRefs>
</ds:datastoreItem>
</file>

<file path=customXml/itemProps2.xml><?xml version="1.0" encoding="utf-8"?>
<ds:datastoreItem xmlns:ds="http://schemas.openxmlformats.org/officeDocument/2006/customXml" ds:itemID="{798E2E3E-48D3-4E8F-9A49-17C574A378FC}"/>
</file>

<file path=customXml/itemProps3.xml><?xml version="1.0" encoding="utf-8"?>
<ds:datastoreItem xmlns:ds="http://schemas.openxmlformats.org/officeDocument/2006/customXml" ds:itemID="{7944E990-C127-496B-ABEF-7E926131BA70}">
  <ds:schemaRefs>
    <ds:schemaRef ds:uri="http://schemas.microsoft.com/sharepoint/v3/contenttype/forms"/>
  </ds:schemaRefs>
</ds:datastoreItem>
</file>

<file path=customXml/itemProps4.xml><?xml version="1.0" encoding="utf-8"?>
<ds:datastoreItem xmlns:ds="http://schemas.openxmlformats.org/officeDocument/2006/customXml" ds:itemID="{8BFBD333-6D0B-455B-BC15-4B7C6D7A8A1A}">
  <ds:schemaRefs>
    <ds:schemaRef ds:uri="http://schemas.openxmlformats.org/officeDocument/2006/bibliography"/>
  </ds:schemaRefs>
</ds:datastoreItem>
</file>

<file path=customXml/itemProps5.xml><?xml version="1.0" encoding="utf-8"?>
<ds:datastoreItem xmlns:ds="http://schemas.openxmlformats.org/officeDocument/2006/customXml" ds:itemID="{DB4B86E0-12A8-4BAD-9F52-FF7B0E8521CB}">
  <ds:schemaRefs>
    <ds:schemaRef ds:uri="http://schemas.microsoft.com/office/2006/metadata/properties"/>
    <ds:schemaRef ds:uri="http://schemas.microsoft.com/office/infopath/2007/PartnerControls"/>
    <ds:schemaRef ds:uri="c098ebf8-ec41-4901-8bcc-5318ff280eeb"/>
    <ds:schemaRef ds:uri="edb24001-9386-4651-978b-07b41d7e2da0"/>
  </ds:schemaRefs>
</ds:datastoreItem>
</file>

<file path=docMetadata/LabelInfo.xml><?xml version="1.0" encoding="utf-8"?>
<clbl:labelList xmlns:clbl="http://schemas.microsoft.com/office/2020/mipLabelMetadata">
  <clbl:label id="{468254ae-9aad-46c9-a2a0-70ae5657050e}" enabled="0" method="" siteId="{468254ae-9aad-46c9-a2a0-70ae5657050e}"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OfferingCircular</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OfferingCircular</dc:title>
  <dc:subject/>
  <dc:creator>Any Authorised User</dc:creator>
  <keywords/>
  <dc:description/>
  <lastModifiedBy>Martin Hanich</lastModifiedBy>
  <revision>194</revision>
  <dcterms:created xsi:type="dcterms:W3CDTF">2023-01-06T11:42:00.0000000Z</dcterms:created>
  <dcterms:modified xsi:type="dcterms:W3CDTF">2023-03-06T14:41:06.5638457Z</dcterms:modified>
</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Version">
    <vt:lpwstr>0.22</vt:lpwstr>
  </op:property>
  <op:property fmtid="{D5CDD505-2E9C-101B-9397-08002B2CF9AE}" pid="3" name="Template Version">
    <vt:lpwstr>R.60</vt:lpwstr>
  </op:property>
  <op:property fmtid="{D5CDD505-2E9C-101B-9397-08002B2CF9AE}" pid="4" name="Last Modified">
    <vt:lpwstr>06 Mar 2023</vt:lpwstr>
  </op:property>
  <op:property fmtid="{D5CDD505-2E9C-101B-9397-08002B2CF9AE}" pid="5" name="Document Number">
    <vt:lpwstr>A50113954</vt:lpwstr>
  </op:property>
  <op:property fmtid="{D5CDD505-2E9C-101B-9397-08002B2CF9AE}" pid="6" name="Client Code">
    <vt:lpwstr>10756677</vt:lpwstr>
  </op:property>
  <op:property fmtid="{D5CDD505-2E9C-101B-9397-08002B2CF9AE}" pid="7" name="DEDocumentLocation">
    <vt:lpwstr>C:\Users\ltownzen\AppData\Local\Linklaters\DocExplorer\Attachments\2023_DTEK Holdings_Tender Offer Memorandum.docx</vt:lpwstr>
  </op:property>
  <op:property fmtid="{D5CDD505-2E9C-101B-9397-08002B2CF9AE}" pid="8" name="Matter Number">
    <vt:lpwstr>L-331731</vt:lpwstr>
  </op:property>
  <op:property fmtid="{D5CDD505-2E9C-101B-9397-08002B2CF9AE}" pid="9" name="Mode">
    <vt:lpwstr>SendAs</vt:lpwstr>
  </op:property>
  <op:property fmtid="{D5CDD505-2E9C-101B-9397-08002B2CF9AE}" pid="10" name="ContentTypeId">
    <vt:lpwstr>0x010100FCF0F42A336C9340A1DA42BADFA85880</vt:lpwstr>
  </op:property>
  <op:property fmtid="{D5CDD505-2E9C-101B-9397-08002B2CF9AE}" pid="11" name="MediaServiceImageTags">
    <vt:lpwstr/>
  </op:property>
  <op:property fmtid="{D5CDD505-2E9C-101B-9397-08002B2CF9AE}" pid="12" name="ObjectID">
    <vt:lpwstr>09001dc89865b94b</vt:lpwstr>
  </op:property>
  <op:property fmtid="{D5CDD505-2E9C-101B-9397-08002B2CF9AE}" pid="13" name="_MarkAsFinal">
    <vt:bool>false</vt:bool>
  </op:property>
</op:Properties>
</file>