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CCA6" w14:textId="77777777" w:rsidR="00601A73" w:rsidRPr="00455528" w:rsidRDefault="00601A73" w:rsidP="00601A73">
      <w:pPr>
        <w:pStyle w:val="BodyCentred"/>
        <w:rPr>
          <w:b/>
        </w:rPr>
      </w:pPr>
      <w:bookmarkStart w:id="0" w:name="_Toc317158247"/>
      <w:bookmarkStart w:id="1" w:name="_Toc317158466"/>
      <w:bookmarkStart w:id="2" w:name="_Toc317698013"/>
      <w:bookmarkStart w:id="3" w:name="_Toc317699162"/>
      <w:r>
        <w:rPr>
          <w:b/>
        </w:rPr>
        <w:t xml:space="preserve">FAGUS HOLDCO PLC (formerly known as </w:t>
      </w:r>
      <w:r w:rsidRPr="00236478">
        <w:rPr>
          <w:b/>
        </w:rPr>
        <w:t>HAYA HOLDCO 2 PLC</w:t>
      </w:r>
      <w:r>
        <w:rPr>
          <w:b/>
        </w:rPr>
        <w:t>)</w:t>
      </w:r>
      <w:r w:rsidRPr="00455528">
        <w:rPr>
          <w:b/>
        </w:rPr>
        <w:t xml:space="preserve"> (the Issuer)</w:t>
      </w:r>
      <w:bookmarkEnd w:id="0"/>
      <w:bookmarkEnd w:id="1"/>
      <w:bookmarkEnd w:id="2"/>
      <w:bookmarkEnd w:id="3"/>
    </w:p>
    <w:p w14:paraId="5B97D76B" w14:textId="77777777" w:rsidR="00601A73" w:rsidRPr="00EE44D2" w:rsidRDefault="00601A73" w:rsidP="00601A73">
      <w:pPr>
        <w:pStyle w:val="BodyCentred"/>
        <w:rPr>
          <w:highlight w:val="green"/>
        </w:rPr>
      </w:pPr>
      <w:r w:rsidRPr="00EE44D2">
        <w:t>(incorporated as a public</w:t>
      </w:r>
      <w:r>
        <w:t xml:space="preserve"> </w:t>
      </w:r>
      <w:r w:rsidRPr="00EE44D2">
        <w:t>limited liabil</w:t>
      </w:r>
      <w:r>
        <w:t>ity company under the laws of England and Wales</w:t>
      </w:r>
      <w:r w:rsidRPr="00EE44D2">
        <w:t>, ha</w:t>
      </w:r>
      <w:r>
        <w:t xml:space="preserve">ving its registered office at </w:t>
      </w:r>
      <w:r w:rsidRPr="00236478">
        <w:t>10th Floor, 5 Churchill Place, London, United Kingdom, E14 5HU</w:t>
      </w:r>
      <w:r>
        <w:t xml:space="preserve">, and registration number </w:t>
      </w:r>
      <w:r w:rsidRPr="00236478">
        <w:t>13971923</w:t>
      </w:r>
      <w:r w:rsidRPr="00EE44D2">
        <w:t>)</w:t>
      </w:r>
    </w:p>
    <w:p w14:paraId="6B2FF8EA" w14:textId="66E7103D" w:rsidR="00601A73" w:rsidRPr="00455528" w:rsidRDefault="00601A73" w:rsidP="00601A73">
      <w:pPr>
        <w:pStyle w:val="BodyCentred"/>
        <w:rPr>
          <w:b/>
          <w:lang w:eastAsia="en-US"/>
        </w:rPr>
      </w:pPr>
      <w:bookmarkStart w:id="4" w:name="_Toc317158248"/>
      <w:bookmarkStart w:id="5" w:name="_Toc317158467"/>
      <w:bookmarkStart w:id="6" w:name="_Toc317698014"/>
      <w:bookmarkStart w:id="7" w:name="_Toc317699163"/>
      <w:r w:rsidRPr="00236478">
        <w:rPr>
          <w:b/>
        </w:rPr>
        <w:t>€6,991,630 DEFERRED CONSIDERATION INSTRUMENTS DUE 2029</w:t>
      </w:r>
      <w:r w:rsidRPr="00236478" w:rsidDel="00236478">
        <w:rPr>
          <w:b/>
        </w:rPr>
        <w:t xml:space="preserve"> </w:t>
      </w:r>
      <w:r w:rsidR="003D5400">
        <w:rPr>
          <w:b/>
        </w:rPr>
        <w:t>(ISINs XS2666501759 (Reg. S) and XS2669755204</w:t>
      </w:r>
      <w:r w:rsidR="00970167">
        <w:rPr>
          <w:b/>
        </w:rPr>
        <w:t xml:space="preserve"> (R. 144a)</w:t>
      </w:r>
      <w:r w:rsidR="003D5400">
        <w:rPr>
          <w:b/>
        </w:rPr>
        <w:t xml:space="preserve">) </w:t>
      </w:r>
      <w:r w:rsidRPr="00455528">
        <w:rPr>
          <w:b/>
        </w:rPr>
        <w:t xml:space="preserve">(the </w:t>
      </w:r>
      <w:bookmarkStart w:id="8" w:name="_Toc317158249"/>
      <w:bookmarkStart w:id="9" w:name="_Toc317158468"/>
      <w:bookmarkStart w:id="10" w:name="_Toc317698015"/>
      <w:bookmarkStart w:id="11" w:name="_Toc317699164"/>
      <w:bookmarkEnd w:id="4"/>
      <w:bookmarkEnd w:id="5"/>
      <w:bookmarkEnd w:id="6"/>
      <w:bookmarkEnd w:id="7"/>
      <w:r w:rsidRPr="00455528">
        <w:rPr>
          <w:b/>
        </w:rPr>
        <w:t>Notes)</w:t>
      </w:r>
      <w:bookmarkEnd w:id="8"/>
      <w:bookmarkEnd w:id="9"/>
      <w:bookmarkEnd w:id="10"/>
      <w:bookmarkEnd w:id="11"/>
    </w:p>
    <w:p w14:paraId="48C6803D" w14:textId="1FD8BA63" w:rsidR="00601A73" w:rsidRDefault="00A248E4" w:rsidP="00601A73">
      <w:r>
        <w:t>8</w:t>
      </w:r>
      <w:r w:rsidR="00601A73">
        <w:t xml:space="preserve"> April 2024</w:t>
      </w:r>
    </w:p>
    <w:p w14:paraId="28703B0C" w14:textId="77777777" w:rsidR="00601A73" w:rsidRDefault="00601A73" w:rsidP="00601A73"/>
    <w:p w14:paraId="6683749E" w14:textId="3F4D3534" w:rsidR="00F3655F" w:rsidRPr="00F3655F" w:rsidRDefault="00F3655F" w:rsidP="00601A73">
      <w:pPr>
        <w:rPr>
          <w:b/>
          <w:bCs/>
          <w:u w:val="single"/>
        </w:rPr>
      </w:pPr>
      <w:r w:rsidRPr="00F3655F">
        <w:rPr>
          <w:b/>
          <w:bCs/>
          <w:u w:val="single"/>
        </w:rPr>
        <w:t>Background</w:t>
      </w:r>
    </w:p>
    <w:p w14:paraId="61CD20D0" w14:textId="2DB7A787" w:rsidR="00F3655F" w:rsidRDefault="00F3655F" w:rsidP="00F3655F">
      <w:pPr>
        <w:jc w:val="both"/>
      </w:pPr>
      <w:r>
        <w:t>On 10 May 2023 the Issuer as sole shareholder of Haya Real Estate SAU (</w:t>
      </w:r>
      <w:r w:rsidRPr="00F3655F">
        <w:rPr>
          <w:b/>
          <w:bCs/>
        </w:rPr>
        <w:t>HRE</w:t>
      </w:r>
      <w:r>
        <w:t>)</w:t>
      </w:r>
      <w:r w:rsidR="001859F1">
        <w:t>,</w:t>
      </w:r>
      <w:r>
        <w:t xml:space="preserve"> signed a binding agreement to sell 100% of the share capital of HRE to lntrum Holding Spain SAU (the </w:t>
      </w:r>
      <w:r w:rsidRPr="00590BAA">
        <w:rPr>
          <w:b/>
          <w:bCs/>
        </w:rPr>
        <w:t>Sale</w:t>
      </w:r>
      <w:r>
        <w:t xml:space="preserve">). The consenting noteholders of the </w:t>
      </w:r>
      <w:r w:rsidR="001859F1">
        <w:t>I</w:t>
      </w:r>
      <w:r>
        <w:t xml:space="preserve">ssuer’s 2022 notes agreed to provide the necessary consents to the Sale and </w:t>
      </w:r>
      <w:r w:rsidRPr="00F3655F">
        <w:t xml:space="preserve">to implement the transaction by means of a scheme of arrangement under Part 26 of the Companies Act 2006 (the </w:t>
      </w:r>
      <w:r w:rsidRPr="00F3655F">
        <w:rPr>
          <w:b/>
          <w:bCs/>
        </w:rPr>
        <w:t>Restructuring</w:t>
      </w:r>
      <w:r w:rsidRPr="00F3655F">
        <w:t>).</w:t>
      </w:r>
    </w:p>
    <w:p w14:paraId="1E5DC865" w14:textId="55A270AF" w:rsidR="00F3655F" w:rsidRDefault="008916BC" w:rsidP="008916BC">
      <w:pPr>
        <w:jc w:val="both"/>
      </w:pPr>
      <w:r w:rsidRPr="008916BC">
        <w:t xml:space="preserve">On closing of the Sale and the Restructuring, </w:t>
      </w:r>
      <w:r w:rsidR="008F7FD5">
        <w:t>t</w:t>
      </w:r>
      <w:r w:rsidR="008F7FD5" w:rsidRPr="008916BC">
        <w:t xml:space="preserve">he rights to </w:t>
      </w:r>
      <w:r w:rsidR="008F7FD5">
        <w:t xml:space="preserve">certain earn-outs </w:t>
      </w:r>
      <w:r w:rsidR="008F7FD5" w:rsidRPr="008916BC">
        <w:t xml:space="preserve">and any recoveries thereunder were assigned </w:t>
      </w:r>
      <w:r w:rsidR="008F7FD5">
        <w:t xml:space="preserve">to the Issuer from </w:t>
      </w:r>
      <w:r w:rsidR="008F7FD5" w:rsidRPr="008916BC">
        <w:t>HRE as part of the Restructuring</w:t>
      </w:r>
      <w:r w:rsidR="008F7FD5">
        <w:t xml:space="preserve">. </w:t>
      </w:r>
      <w:r w:rsidRPr="008916BC">
        <w:t xml:space="preserve">One of </w:t>
      </w:r>
      <w:r w:rsidR="001859F1">
        <w:t>these</w:t>
      </w:r>
      <w:r w:rsidR="001859F1" w:rsidRPr="008916BC">
        <w:t xml:space="preserve"> </w:t>
      </w:r>
      <w:r w:rsidRPr="008916BC">
        <w:t>earn-outs relates to the dispute between HRE and Unicaja Banco S.A. (</w:t>
      </w:r>
      <w:r w:rsidRPr="0025305D">
        <w:rPr>
          <w:b/>
          <w:bCs/>
        </w:rPr>
        <w:t>Unicaja</w:t>
      </w:r>
      <w:r w:rsidRPr="008916BC">
        <w:t xml:space="preserve">) </w:t>
      </w:r>
      <w:r w:rsidR="001859F1">
        <w:t xml:space="preserve">that arose on contract termination and </w:t>
      </w:r>
      <w:r w:rsidRPr="008916BC">
        <w:t xml:space="preserve">where, as disclosed as part of the Restructuring, the maximum potential value of such recoveries was previously estimated to be EUR 16.6 million. The </w:t>
      </w:r>
      <w:r w:rsidR="001859F1">
        <w:t>dispute</w:t>
      </w:r>
      <w:r w:rsidR="001859F1" w:rsidRPr="008916BC">
        <w:t xml:space="preserve"> </w:t>
      </w:r>
      <w:r w:rsidRPr="008916BC">
        <w:t xml:space="preserve">primarily centred on the calculation of the termination fee payable.  </w:t>
      </w:r>
      <w:r w:rsidR="00580D01">
        <w:t>Post completion of the Restructuring the Issuer continued to defend the claim against Unicaja through the Spanish judicial process.</w:t>
      </w:r>
    </w:p>
    <w:p w14:paraId="70BE7493" w14:textId="6F2EE6B1" w:rsidR="0078432B" w:rsidRPr="00B95182" w:rsidRDefault="00F3655F" w:rsidP="00B95182">
      <w:pPr>
        <w:rPr>
          <w:b/>
          <w:bCs/>
          <w:u w:val="single"/>
        </w:rPr>
      </w:pPr>
      <w:r w:rsidRPr="00F3655F">
        <w:rPr>
          <w:b/>
          <w:bCs/>
          <w:u w:val="single"/>
        </w:rPr>
        <w:t>U</w:t>
      </w:r>
      <w:r w:rsidR="00580D01">
        <w:rPr>
          <w:b/>
          <w:bCs/>
          <w:u w:val="single"/>
        </w:rPr>
        <w:t>pdate on the Court Process</w:t>
      </w:r>
    </w:p>
    <w:p w14:paraId="4B208852" w14:textId="5371FC91" w:rsidR="008916BC" w:rsidRPr="008916BC" w:rsidRDefault="00580D01" w:rsidP="0025305D">
      <w:pPr>
        <w:jc w:val="both"/>
        <w:rPr>
          <w:lang w:val="en-US"/>
        </w:rPr>
      </w:pPr>
      <w:r>
        <w:rPr>
          <w:lang w:val="en-US"/>
        </w:rPr>
        <w:t xml:space="preserve">On </w:t>
      </w:r>
      <w:r w:rsidRPr="00580D01">
        <w:rPr>
          <w:lang w:val="en-US"/>
        </w:rPr>
        <w:t>28 March 2024</w:t>
      </w:r>
      <w:r>
        <w:rPr>
          <w:lang w:val="en-US"/>
        </w:rPr>
        <w:t xml:space="preserve"> </w:t>
      </w:r>
      <w:r w:rsidRPr="00580D01">
        <w:rPr>
          <w:lang w:val="en-US"/>
        </w:rPr>
        <w:t xml:space="preserve">the Court of First Instance No. 82 of Madrid </w:t>
      </w:r>
      <w:r>
        <w:rPr>
          <w:lang w:val="en-US"/>
        </w:rPr>
        <w:t>handed down its ruling. C</w:t>
      </w:r>
      <w:r w:rsidR="008916BC" w:rsidRPr="008916BC">
        <w:rPr>
          <w:lang w:val="en-US"/>
        </w:rPr>
        <w:t xml:space="preserve">ontrary to the argument advanced by the </w:t>
      </w:r>
      <w:r>
        <w:rPr>
          <w:lang w:val="en-US"/>
        </w:rPr>
        <w:t>Issuer</w:t>
      </w:r>
      <w:r w:rsidRPr="008916BC">
        <w:rPr>
          <w:lang w:val="en-US"/>
        </w:rPr>
        <w:t xml:space="preserve"> </w:t>
      </w:r>
      <w:r w:rsidR="008916BC" w:rsidRPr="008916BC">
        <w:rPr>
          <w:lang w:val="en-US"/>
        </w:rPr>
        <w:t xml:space="preserve">as to the intent of the parties, the judge found that there was no error in the drafting of the disputed clause surrounding </w:t>
      </w:r>
      <w:r>
        <w:rPr>
          <w:lang w:val="en-US"/>
        </w:rPr>
        <w:t>the t</w:t>
      </w:r>
      <w:r w:rsidR="008916BC" w:rsidRPr="008916BC">
        <w:rPr>
          <w:lang w:val="en-US"/>
        </w:rPr>
        <w:t xml:space="preserve">ermination </w:t>
      </w:r>
      <w:r>
        <w:rPr>
          <w:lang w:val="en-US"/>
        </w:rPr>
        <w:t>f</w:t>
      </w:r>
      <w:r w:rsidR="008916BC" w:rsidRPr="008916BC">
        <w:rPr>
          <w:lang w:val="en-US"/>
        </w:rPr>
        <w:t xml:space="preserve">ee and that the </w:t>
      </w:r>
      <w:r>
        <w:rPr>
          <w:lang w:val="en-US"/>
        </w:rPr>
        <w:t xml:space="preserve">contract </w:t>
      </w:r>
      <w:r w:rsidR="008916BC" w:rsidRPr="008916BC">
        <w:rPr>
          <w:lang w:val="en-US"/>
        </w:rPr>
        <w:t xml:space="preserve">should be interpreted according to the literal meaning of its words. The judge did, however, establish that the </w:t>
      </w:r>
      <w:r>
        <w:rPr>
          <w:lang w:val="en-US"/>
        </w:rPr>
        <w:t>t</w:t>
      </w:r>
      <w:r w:rsidR="008916BC" w:rsidRPr="008916BC">
        <w:rPr>
          <w:lang w:val="en-US"/>
        </w:rPr>
        <w:t xml:space="preserve">ermination </w:t>
      </w:r>
      <w:r>
        <w:rPr>
          <w:lang w:val="en-US"/>
        </w:rPr>
        <w:t>f</w:t>
      </w:r>
      <w:r w:rsidR="008916BC" w:rsidRPr="008916BC">
        <w:rPr>
          <w:lang w:val="en-US"/>
        </w:rPr>
        <w:t>ee should be calculated at €15,679,475.61 and that</w:t>
      </w:r>
      <w:r w:rsidR="008F7FD5">
        <w:rPr>
          <w:lang w:val="en-US"/>
        </w:rPr>
        <w:t>,</w:t>
      </w:r>
      <w:r w:rsidR="008916BC" w:rsidRPr="008916BC">
        <w:rPr>
          <w:lang w:val="en-US"/>
        </w:rPr>
        <w:t xml:space="preserve"> consequently</w:t>
      </w:r>
      <w:r w:rsidR="008F7FD5">
        <w:rPr>
          <w:lang w:val="en-US"/>
        </w:rPr>
        <w:t>,</w:t>
      </w:r>
      <w:r w:rsidR="008916BC" w:rsidRPr="008916BC">
        <w:rPr>
          <w:lang w:val="en-US"/>
        </w:rPr>
        <w:t xml:space="preserve"> Unicaja m</w:t>
      </w:r>
      <w:r>
        <w:rPr>
          <w:lang w:val="en-US"/>
        </w:rPr>
        <w:t>u</w:t>
      </w:r>
      <w:r w:rsidR="008916BC" w:rsidRPr="008916BC">
        <w:rPr>
          <w:lang w:val="en-US"/>
        </w:rPr>
        <w:t xml:space="preserve">st pay </w:t>
      </w:r>
      <w:r w:rsidR="008F7FD5">
        <w:rPr>
          <w:lang w:val="en-US"/>
        </w:rPr>
        <w:t>the Issuer</w:t>
      </w:r>
      <w:r w:rsidR="008F7FD5" w:rsidRPr="008916BC">
        <w:rPr>
          <w:lang w:val="en-US"/>
        </w:rPr>
        <w:t xml:space="preserve"> </w:t>
      </w:r>
      <w:r w:rsidR="008916BC" w:rsidRPr="008916BC">
        <w:rPr>
          <w:lang w:val="en-US"/>
        </w:rPr>
        <w:t xml:space="preserve">a further €1,241,420.61 in this regard. </w:t>
      </w:r>
    </w:p>
    <w:p w14:paraId="1290B0D5" w14:textId="0FB417BC" w:rsidR="008916BC" w:rsidRDefault="008916BC" w:rsidP="0025305D">
      <w:pPr>
        <w:jc w:val="both"/>
        <w:rPr>
          <w:lang w:val="en-US"/>
        </w:rPr>
      </w:pPr>
      <w:r w:rsidRPr="00580D01">
        <w:rPr>
          <w:lang w:val="en-US"/>
        </w:rPr>
        <w:t>Th</w:t>
      </w:r>
      <w:r w:rsidR="00580D01">
        <w:rPr>
          <w:lang w:val="en-US"/>
        </w:rPr>
        <w:t>is</w:t>
      </w:r>
      <w:r w:rsidRPr="00580D01">
        <w:rPr>
          <w:lang w:val="en-US"/>
        </w:rPr>
        <w:t xml:space="preserve"> ruling is not final and both parties are entitled to appeal within 20 business days (</w:t>
      </w:r>
      <w:r w:rsidRPr="0025305D">
        <w:rPr>
          <w:color w:val="000000" w:themeColor="text1"/>
          <w:lang w:val="en-US"/>
        </w:rPr>
        <w:t>deadline Friday, 3 May</w:t>
      </w:r>
      <w:r w:rsidR="00580D01">
        <w:rPr>
          <w:lang w:val="en-US"/>
        </w:rPr>
        <w:t xml:space="preserve"> 2024</w:t>
      </w:r>
      <w:r w:rsidRPr="00580D01">
        <w:rPr>
          <w:lang w:val="en-US"/>
        </w:rPr>
        <w:t xml:space="preserve">). The </w:t>
      </w:r>
      <w:r w:rsidR="00580D01">
        <w:rPr>
          <w:lang w:val="en-US"/>
        </w:rPr>
        <w:t>Issuer</w:t>
      </w:r>
      <w:r w:rsidRPr="00580D01">
        <w:rPr>
          <w:lang w:val="en-US"/>
        </w:rPr>
        <w:t xml:space="preserve">, in conjunction with its legal advisors, </w:t>
      </w:r>
      <w:r w:rsidR="00580D01">
        <w:rPr>
          <w:lang w:val="en-US"/>
        </w:rPr>
        <w:t xml:space="preserve">is </w:t>
      </w:r>
      <w:r w:rsidRPr="00580D01">
        <w:rPr>
          <w:lang w:val="en-US"/>
        </w:rPr>
        <w:t>assess</w:t>
      </w:r>
      <w:r w:rsidR="00580D01">
        <w:rPr>
          <w:lang w:val="en-US"/>
        </w:rPr>
        <w:t>ing</w:t>
      </w:r>
      <w:r w:rsidRPr="00580D01">
        <w:rPr>
          <w:lang w:val="en-US"/>
        </w:rPr>
        <w:t xml:space="preserve"> whether to appeal. A further announcement may be made in due course.</w:t>
      </w:r>
    </w:p>
    <w:p w14:paraId="7C53718A" w14:textId="77777777" w:rsidR="0025305D" w:rsidRDefault="0025305D" w:rsidP="0025305D">
      <w:pPr>
        <w:jc w:val="both"/>
        <w:rPr>
          <w:lang w:val="en-US"/>
        </w:rPr>
      </w:pPr>
    </w:p>
    <w:p w14:paraId="51F1AEA5" w14:textId="49C72283" w:rsidR="0025305D" w:rsidRDefault="0025305D" w:rsidP="0025305D">
      <w:pPr>
        <w:jc w:val="both"/>
        <w:rPr>
          <w:lang w:val="en-US"/>
        </w:rPr>
      </w:pPr>
      <w:r>
        <w:rPr>
          <w:lang w:val="en-US"/>
        </w:rPr>
        <w:t xml:space="preserve">For any questions, Noteholders may contact the Issuer at </w:t>
      </w:r>
      <w:hyperlink r:id="rId5" w:history="1">
        <w:r w:rsidRPr="00E76732">
          <w:rPr>
            <w:rStyle w:val="Hyperlink"/>
            <w:lang w:val="en-US"/>
          </w:rPr>
          <w:t>haya-uk@cscgfm.com</w:t>
        </w:r>
      </w:hyperlink>
      <w:r>
        <w:rPr>
          <w:lang w:val="en-US"/>
        </w:rPr>
        <w:t xml:space="preserve">. </w:t>
      </w:r>
    </w:p>
    <w:p w14:paraId="7ACD5E93" w14:textId="77777777" w:rsidR="0025305D" w:rsidRPr="00580D01" w:rsidRDefault="0025305D" w:rsidP="0025305D">
      <w:pPr>
        <w:jc w:val="both"/>
        <w:rPr>
          <w:lang w:val="en-US"/>
        </w:rPr>
      </w:pPr>
    </w:p>
    <w:p w14:paraId="275606DF" w14:textId="77777777" w:rsidR="0078432B" w:rsidRDefault="0078432B" w:rsidP="0078432B">
      <w:pPr>
        <w:rPr>
          <w:lang w:val="en-US"/>
        </w:rPr>
      </w:pPr>
    </w:p>
    <w:sectPr w:rsidR="00784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6DC"/>
    <w:multiLevelType w:val="hybridMultilevel"/>
    <w:tmpl w:val="133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605A"/>
    <w:multiLevelType w:val="hybridMultilevel"/>
    <w:tmpl w:val="5CA2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82821"/>
    <w:multiLevelType w:val="hybridMultilevel"/>
    <w:tmpl w:val="44DAC3E6"/>
    <w:lvl w:ilvl="0" w:tplc="B70E0244">
      <w:numFmt w:val="bullet"/>
      <w:lvlText w:val="-"/>
      <w:lvlJc w:val="left"/>
      <w:pPr>
        <w:ind w:left="405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7444642"/>
    <w:multiLevelType w:val="hybridMultilevel"/>
    <w:tmpl w:val="F648B4C6"/>
    <w:lvl w:ilvl="0" w:tplc="7D9C3C7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3625">
    <w:abstractNumId w:val="2"/>
  </w:num>
  <w:num w:numId="2" w16cid:durableId="877743110">
    <w:abstractNumId w:val="3"/>
  </w:num>
  <w:num w:numId="3" w16cid:durableId="400955534">
    <w:abstractNumId w:val="1"/>
  </w:num>
  <w:num w:numId="4" w16cid:durableId="15125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73"/>
    <w:rsid w:val="001859F1"/>
    <w:rsid w:val="002075F3"/>
    <w:rsid w:val="00252DF4"/>
    <w:rsid w:val="0025305D"/>
    <w:rsid w:val="0026171F"/>
    <w:rsid w:val="00367E7F"/>
    <w:rsid w:val="003B4F5E"/>
    <w:rsid w:val="003D5400"/>
    <w:rsid w:val="00486AE7"/>
    <w:rsid w:val="00494E32"/>
    <w:rsid w:val="00580D01"/>
    <w:rsid w:val="00582266"/>
    <w:rsid w:val="00601A73"/>
    <w:rsid w:val="00624ECA"/>
    <w:rsid w:val="00637997"/>
    <w:rsid w:val="0078432B"/>
    <w:rsid w:val="007A3AF7"/>
    <w:rsid w:val="008916BC"/>
    <w:rsid w:val="00896964"/>
    <w:rsid w:val="008F7FD5"/>
    <w:rsid w:val="00970167"/>
    <w:rsid w:val="00976BBF"/>
    <w:rsid w:val="00A248E4"/>
    <w:rsid w:val="00AC5A50"/>
    <w:rsid w:val="00AD2858"/>
    <w:rsid w:val="00B04745"/>
    <w:rsid w:val="00B95182"/>
    <w:rsid w:val="00C36B5C"/>
    <w:rsid w:val="00D30D9E"/>
    <w:rsid w:val="00D44CAD"/>
    <w:rsid w:val="00EE2D82"/>
    <w:rsid w:val="00F24A5D"/>
    <w:rsid w:val="00F3655F"/>
    <w:rsid w:val="00F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4E96"/>
  <w15:chartTrackingRefBased/>
  <w15:docId w15:val="{13CE7FCA-F79A-4FD9-81B7-0604356F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A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1A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BodyCentred">
    <w:name w:val="Body Centred"/>
    <w:basedOn w:val="Normal"/>
    <w:next w:val="Normal"/>
    <w:uiPriority w:val="7"/>
    <w:qFormat/>
    <w:rsid w:val="00601A73"/>
    <w:pPr>
      <w:autoSpaceDE w:val="0"/>
      <w:autoSpaceDN w:val="0"/>
      <w:adjustRightInd w:val="0"/>
      <w:spacing w:after="240" w:line="288" w:lineRule="auto"/>
      <w:jc w:val="center"/>
    </w:pPr>
    <w:rPr>
      <w:rFonts w:ascii="Arial" w:eastAsia="Times New Roman" w:hAnsi="Arial" w:cs="Times New Roman"/>
      <w:kern w:val="0"/>
      <w:sz w:val="21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916B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916BC"/>
  </w:style>
  <w:style w:type="paragraph" w:styleId="Revision">
    <w:name w:val="Revision"/>
    <w:hidden/>
    <w:uiPriority w:val="99"/>
    <w:semiHidden/>
    <w:rsid w:val="00580D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30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0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a-uk@cscgfm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7DA9B-2F48-4B31-9F6C-F0A8B59CC812}"/>
</file>

<file path=customXml/itemProps2.xml><?xml version="1.0" encoding="utf-8"?>
<ds:datastoreItem xmlns:ds="http://schemas.openxmlformats.org/officeDocument/2006/customXml" ds:itemID="{55505522-1C08-4FE9-B336-A5870CAB9A1B}"/>
</file>

<file path=customXml/itemProps3.xml><?xml version="1.0" encoding="utf-8"?>
<ds:datastoreItem xmlns:ds="http://schemas.openxmlformats.org/officeDocument/2006/customXml" ds:itemID="{13A3B13E-124D-4E71-B247-223555B18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Jordina</dc:creator>
  <cp:keywords/>
  <dc:description/>
  <cp:lastModifiedBy>Aric Kay-Russell</cp:lastModifiedBy>
  <cp:revision>3</cp:revision>
  <dcterms:created xsi:type="dcterms:W3CDTF">2024-04-08T14:11:00Z</dcterms:created>
  <dcterms:modified xsi:type="dcterms:W3CDTF">2024-04-08T14:20:00Z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2024-04-05T15:29:43Z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d85504e4-7e72-4906-a924-49c1ea9783db</vt:lpwstr>
  </property>
  <property fmtid="{D5CDD505-2E9C-101B-9397-08002B2CF9AE}" pid="8" name="MSIP_Label_f115ad2b-2b08-4b4b-ab33-60fb39cd9089_ContentBits">
    <vt:lpwstr>0</vt:lpwstr>
  </property>
  <property fmtid="{D5CDD505-2E9C-101B-9397-08002B2CF9AE}" pid="9" name="MSIP_Label_bb1a22a8-1ad4-423a-8f46-707462a6d23b_Enabled">
    <vt:lpwstr>true</vt:lpwstr>
  </property>
  <property fmtid="{D5CDD505-2E9C-101B-9397-08002B2CF9AE}" pid="10" name="MSIP_Label_bb1a22a8-1ad4-423a-8f46-707462a6d23b_SetDate">
    <vt:lpwstr>2024-04-08T14:11:21Z</vt:lpwstr>
  </property>
  <property fmtid="{D5CDD505-2E9C-101B-9397-08002B2CF9AE}" pid="11" name="MSIP_Label_bb1a22a8-1ad4-423a-8f46-707462a6d23b_Method">
    <vt:lpwstr>Privileged</vt:lpwstr>
  </property>
  <property fmtid="{D5CDD505-2E9C-101B-9397-08002B2CF9AE}" pid="12" name="MSIP_Label_bb1a22a8-1ad4-423a-8f46-707462a6d23b_Name">
    <vt:lpwstr>Public.</vt:lpwstr>
  </property>
  <property fmtid="{D5CDD505-2E9C-101B-9397-08002B2CF9AE}" pid="13" name="MSIP_Label_bb1a22a8-1ad4-423a-8f46-707462a6d23b_SiteId">
    <vt:lpwstr>3dd45703-f64c-4405-bed3-9e371e0e9ceb</vt:lpwstr>
  </property>
  <property fmtid="{D5CDD505-2E9C-101B-9397-08002B2CF9AE}" pid="14" name="MSIP_Label_bb1a22a8-1ad4-423a-8f46-707462a6d23b_ActionId">
    <vt:lpwstr>e6709f3c-4e6b-4c34-b2a3-cc120f026405</vt:lpwstr>
  </property>
  <property fmtid="{D5CDD505-2E9C-101B-9397-08002B2CF9AE}" pid="15" name="MSIP_Label_bb1a22a8-1ad4-423a-8f46-707462a6d23b_ContentBits">
    <vt:lpwstr>0</vt:lpwstr>
  </property>
</Properties>
</file>