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4BA" w:rsidRDefault="008640F2" w:rsidP="008640F2">
      <w:pPr>
        <w:jc w:val="center"/>
      </w:pPr>
      <w:r>
        <w:rPr>
          <w:b/>
          <w:bCs/>
          <w:noProof/>
          <w:sz w:val="36"/>
          <w:szCs w:val="36"/>
          <w:lang w:eastAsia="en-GB"/>
        </w:rPr>
        <w:drawing>
          <wp:inline distT="0" distB="0" distL="0" distR="0" wp14:anchorId="05458036" wp14:editId="56545BBA">
            <wp:extent cx="1104900" cy="1104900"/>
            <wp:effectExtent l="0" t="0" r="0" b="0"/>
            <wp:docPr id="2" name="Picture 2" descr="cid:image004.png@01D58295.C2BEF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id:image004.png@01D58295.C2BEF49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p w:rsidR="008640F2" w:rsidRDefault="00BE0FB4" w:rsidP="008640F2">
      <w:r>
        <w:rPr>
          <w:rFonts w:cstheme="minorHAnsi"/>
          <w:sz w:val="20"/>
          <w:szCs w:val="20"/>
        </w:rPr>
        <w:t>18</w:t>
      </w:r>
      <w:r w:rsidR="008640F2" w:rsidRPr="00084C33">
        <w:rPr>
          <w:rFonts w:cstheme="minorHAnsi"/>
          <w:sz w:val="20"/>
          <w:szCs w:val="20"/>
        </w:rPr>
        <w:t xml:space="preserve"> September</w:t>
      </w:r>
      <w:r w:rsidR="008640F2">
        <w:t xml:space="preserve"> 2023</w:t>
      </w:r>
    </w:p>
    <w:p w:rsidR="008640F2" w:rsidRDefault="008640F2" w:rsidP="008640F2">
      <w:pPr>
        <w:jc w:val="center"/>
        <w:rPr>
          <w:b/>
          <w:bCs/>
          <w:color w:val="385623" w:themeColor="accent6" w:themeShade="80"/>
          <w:sz w:val="40"/>
          <w:szCs w:val="40"/>
          <w:lang w:val="it-IT"/>
        </w:rPr>
      </w:pPr>
      <w:r w:rsidRPr="001737E2">
        <w:rPr>
          <w:b/>
          <w:bCs/>
          <w:color w:val="385623" w:themeColor="accent6" w:themeShade="80"/>
          <w:sz w:val="40"/>
          <w:szCs w:val="40"/>
          <w:lang w:val="it-IT"/>
        </w:rPr>
        <w:t>Credito Emiliano S.p.A.</w:t>
      </w:r>
    </w:p>
    <w:p w:rsidR="008640F2" w:rsidRDefault="008640F2" w:rsidP="008640F2">
      <w:pPr>
        <w:jc w:val="center"/>
        <w:rPr>
          <w:b/>
          <w:i/>
          <w:snapToGrid w:val="0"/>
          <w:color w:val="385623" w:themeColor="accent6" w:themeShade="80"/>
          <w:sz w:val="32"/>
          <w:szCs w:val="32"/>
        </w:rPr>
      </w:pPr>
      <w:r w:rsidRPr="00AA1F85">
        <w:rPr>
          <w:b/>
          <w:i/>
          <w:snapToGrid w:val="0"/>
          <w:color w:val="385623" w:themeColor="accent6" w:themeShade="80"/>
          <w:sz w:val="32"/>
          <w:szCs w:val="32"/>
        </w:rPr>
        <w:t>Issue of €</w:t>
      </w:r>
      <w:r w:rsidR="00B5115D">
        <w:rPr>
          <w:b/>
          <w:i/>
          <w:snapToGrid w:val="0"/>
          <w:color w:val="385623" w:themeColor="accent6" w:themeShade="80"/>
          <w:sz w:val="32"/>
          <w:szCs w:val="32"/>
        </w:rPr>
        <w:t xml:space="preserve"> </w:t>
      </w:r>
      <w:r>
        <w:rPr>
          <w:b/>
          <w:i/>
          <w:snapToGrid w:val="0"/>
          <w:color w:val="385623" w:themeColor="accent6" w:themeShade="80"/>
          <w:sz w:val="32"/>
          <w:szCs w:val="32"/>
        </w:rPr>
        <w:t>5</w:t>
      </w:r>
      <w:r w:rsidR="00B5115D">
        <w:rPr>
          <w:rFonts w:cstheme="minorHAnsi"/>
          <w:b/>
          <w:i/>
          <w:snapToGrid w:val="0"/>
          <w:color w:val="385623" w:themeColor="accent6" w:themeShade="80"/>
          <w:sz w:val="32"/>
          <w:szCs w:val="32"/>
        </w:rPr>
        <w:t>00,000,000</w:t>
      </w:r>
    </w:p>
    <w:p w:rsidR="008640F2" w:rsidRPr="00AA1F85" w:rsidRDefault="004B2EF2" w:rsidP="008640F2">
      <w:pPr>
        <w:jc w:val="center"/>
        <w:rPr>
          <w:b/>
          <w:i/>
          <w:snapToGrid w:val="0"/>
          <w:color w:val="385623" w:themeColor="accent6" w:themeShade="80"/>
          <w:sz w:val="32"/>
          <w:szCs w:val="32"/>
        </w:rPr>
      </w:pPr>
      <w:r>
        <w:rPr>
          <w:b/>
          <w:i/>
          <w:snapToGrid w:val="0"/>
          <w:color w:val="385623" w:themeColor="accent6" w:themeShade="80"/>
          <w:sz w:val="32"/>
          <w:szCs w:val="32"/>
        </w:rPr>
        <w:t>Social</w:t>
      </w:r>
      <w:r w:rsidR="008640F2" w:rsidRPr="00BA2F4D">
        <w:rPr>
          <w:b/>
          <w:i/>
          <w:snapToGrid w:val="0"/>
          <w:color w:val="385623" w:themeColor="accent6" w:themeShade="80"/>
          <w:sz w:val="32"/>
          <w:szCs w:val="32"/>
        </w:rPr>
        <w:t xml:space="preserve"> 6</w:t>
      </w:r>
      <w:r w:rsidR="008640F2">
        <w:rPr>
          <w:b/>
          <w:i/>
          <w:snapToGrid w:val="0"/>
          <w:color w:val="385623" w:themeColor="accent6" w:themeShade="80"/>
          <w:sz w:val="32"/>
          <w:szCs w:val="32"/>
        </w:rPr>
        <w:t>.5</w:t>
      </w:r>
      <w:r w:rsidR="008640F2" w:rsidRPr="00BA2F4D">
        <w:rPr>
          <w:b/>
          <w:i/>
          <w:snapToGrid w:val="0"/>
          <w:color w:val="385623" w:themeColor="accent6" w:themeShade="80"/>
          <w:sz w:val="32"/>
          <w:szCs w:val="32"/>
        </w:rPr>
        <w:t>NC</w:t>
      </w:r>
      <w:r w:rsidR="008640F2">
        <w:rPr>
          <w:b/>
          <w:i/>
          <w:snapToGrid w:val="0"/>
          <w:color w:val="385623" w:themeColor="accent6" w:themeShade="80"/>
          <w:sz w:val="32"/>
          <w:szCs w:val="32"/>
        </w:rPr>
        <w:t>5.5</w:t>
      </w:r>
      <w:r w:rsidR="008640F2" w:rsidRPr="00BA2F4D">
        <w:rPr>
          <w:b/>
          <w:i/>
          <w:snapToGrid w:val="0"/>
          <w:color w:val="385623" w:themeColor="accent6" w:themeShade="80"/>
          <w:sz w:val="32"/>
          <w:szCs w:val="32"/>
        </w:rPr>
        <w:t xml:space="preserve"> -Year</w:t>
      </w:r>
      <w:r w:rsidR="008640F2" w:rsidRPr="00AA1F85">
        <w:rPr>
          <w:b/>
          <w:i/>
          <w:snapToGrid w:val="0"/>
          <w:color w:val="385623" w:themeColor="accent6" w:themeShade="80"/>
          <w:sz w:val="32"/>
          <w:szCs w:val="32"/>
        </w:rPr>
        <w:t xml:space="preserve"> </w:t>
      </w:r>
    </w:p>
    <w:p w:rsidR="008640F2" w:rsidRDefault="008640F2" w:rsidP="008640F2">
      <w:pPr>
        <w:jc w:val="center"/>
        <w:rPr>
          <w:b/>
          <w:i/>
          <w:snapToGrid w:val="0"/>
          <w:color w:val="385623" w:themeColor="accent6" w:themeShade="80"/>
          <w:sz w:val="32"/>
          <w:szCs w:val="32"/>
        </w:rPr>
      </w:pPr>
      <w:r w:rsidRPr="00AA1F85">
        <w:rPr>
          <w:b/>
          <w:i/>
          <w:snapToGrid w:val="0"/>
          <w:color w:val="385623" w:themeColor="accent6" w:themeShade="80"/>
          <w:sz w:val="32"/>
          <w:szCs w:val="32"/>
        </w:rPr>
        <w:t xml:space="preserve">Fixed to Floating Rate </w:t>
      </w:r>
      <w:r>
        <w:rPr>
          <w:b/>
          <w:i/>
          <w:snapToGrid w:val="0"/>
          <w:color w:val="385623" w:themeColor="accent6" w:themeShade="80"/>
          <w:sz w:val="32"/>
          <w:szCs w:val="32"/>
        </w:rPr>
        <w:t>Senior Preferred</w:t>
      </w:r>
      <w:r w:rsidRPr="00AA1F85">
        <w:rPr>
          <w:b/>
          <w:i/>
          <w:snapToGrid w:val="0"/>
          <w:color w:val="385623" w:themeColor="accent6" w:themeShade="80"/>
          <w:sz w:val="32"/>
          <w:szCs w:val="32"/>
        </w:rPr>
        <w:t xml:space="preserve"> Notes (the “Notes”)</w:t>
      </w:r>
    </w:p>
    <w:p w:rsidR="008640F2" w:rsidRDefault="008640F2" w:rsidP="008640F2">
      <w:pPr>
        <w:ind w:left="720" w:firstLine="720"/>
      </w:pPr>
      <w:r>
        <w:rPr>
          <w:b/>
          <w:i/>
          <w:snapToGrid w:val="0"/>
          <w:color w:val="385623" w:themeColor="accent6" w:themeShade="80"/>
          <w:sz w:val="32"/>
          <w:szCs w:val="32"/>
        </w:rPr>
        <w:t>Under the EUR 5,000,000,000 EMTN Programme</w:t>
      </w:r>
    </w:p>
    <w:p w:rsidR="008640F2" w:rsidRDefault="008640F2"/>
    <w:tbl>
      <w:tblPr>
        <w:tblStyle w:val="TableGrid"/>
        <w:tblW w:w="9924" w:type="dxa"/>
        <w:tblLook w:val="04A0" w:firstRow="1" w:lastRow="0" w:firstColumn="1" w:lastColumn="0" w:noHBand="0" w:noVBand="1"/>
      </w:tblPr>
      <w:tblGrid>
        <w:gridCol w:w="3114"/>
        <w:gridCol w:w="6810"/>
      </w:tblGrid>
      <w:tr w:rsidR="008640F2" w:rsidRPr="00E760C8" w:rsidTr="008640F2">
        <w:trPr>
          <w:trHeight w:val="254"/>
        </w:trPr>
        <w:tc>
          <w:tcPr>
            <w:tcW w:w="3114" w:type="dxa"/>
          </w:tcPr>
          <w:p w:rsidR="008640F2" w:rsidRPr="00D909D2" w:rsidRDefault="008640F2" w:rsidP="008640F2">
            <w:pPr>
              <w:rPr>
                <w:rFonts w:cstheme="minorHAnsi"/>
                <w:sz w:val="20"/>
                <w:szCs w:val="20"/>
              </w:rPr>
            </w:pPr>
            <w:r w:rsidRPr="00D909D2">
              <w:rPr>
                <w:rFonts w:cstheme="minorHAnsi"/>
                <w:sz w:val="20"/>
                <w:szCs w:val="20"/>
              </w:rPr>
              <w:t>Issuer</w:t>
            </w:r>
          </w:p>
        </w:tc>
        <w:tc>
          <w:tcPr>
            <w:tcW w:w="6810" w:type="dxa"/>
          </w:tcPr>
          <w:p w:rsidR="008640F2" w:rsidRPr="00D909D2" w:rsidRDefault="008640F2" w:rsidP="008640F2">
            <w:pPr>
              <w:rPr>
                <w:rFonts w:cstheme="minorHAnsi"/>
                <w:sz w:val="20"/>
                <w:szCs w:val="20"/>
                <w:lang w:val="it-IT"/>
              </w:rPr>
            </w:pPr>
            <w:r w:rsidRPr="00D909D2">
              <w:rPr>
                <w:rFonts w:cstheme="minorHAnsi"/>
                <w:sz w:val="20"/>
                <w:szCs w:val="20"/>
                <w:lang w:val="it-IT"/>
              </w:rPr>
              <w:t>Credito Emiliano S.p.A.</w:t>
            </w:r>
          </w:p>
        </w:tc>
      </w:tr>
      <w:tr w:rsidR="008640F2" w:rsidTr="008640F2">
        <w:trPr>
          <w:trHeight w:val="254"/>
        </w:trPr>
        <w:tc>
          <w:tcPr>
            <w:tcW w:w="3114" w:type="dxa"/>
          </w:tcPr>
          <w:p w:rsidR="008640F2" w:rsidRPr="00D909D2" w:rsidRDefault="008640F2" w:rsidP="008640F2">
            <w:pPr>
              <w:rPr>
                <w:rFonts w:cstheme="minorHAnsi"/>
                <w:sz w:val="20"/>
                <w:szCs w:val="20"/>
              </w:rPr>
            </w:pPr>
            <w:r w:rsidRPr="00D909D2">
              <w:rPr>
                <w:rFonts w:cstheme="minorHAnsi"/>
                <w:sz w:val="20"/>
                <w:szCs w:val="20"/>
              </w:rPr>
              <w:t>Issuer’s LEI Code</w:t>
            </w:r>
          </w:p>
        </w:tc>
        <w:tc>
          <w:tcPr>
            <w:tcW w:w="6810" w:type="dxa"/>
          </w:tcPr>
          <w:p w:rsidR="008640F2" w:rsidRPr="00D909D2" w:rsidRDefault="008640F2" w:rsidP="008640F2">
            <w:pPr>
              <w:rPr>
                <w:rFonts w:cstheme="minorHAnsi"/>
                <w:sz w:val="20"/>
                <w:szCs w:val="20"/>
                <w:lang w:val="it-IT"/>
              </w:rPr>
            </w:pPr>
            <w:r w:rsidRPr="00D909D2">
              <w:rPr>
                <w:rFonts w:cstheme="minorHAnsi"/>
                <w:sz w:val="20"/>
                <w:szCs w:val="20"/>
                <w:lang w:val="it-IT"/>
              </w:rPr>
              <w:t>8156004B244AA70DE787</w:t>
            </w:r>
          </w:p>
        </w:tc>
      </w:tr>
      <w:tr w:rsidR="008640F2" w:rsidTr="008640F2">
        <w:trPr>
          <w:trHeight w:val="254"/>
        </w:trPr>
        <w:tc>
          <w:tcPr>
            <w:tcW w:w="3114" w:type="dxa"/>
          </w:tcPr>
          <w:p w:rsidR="008640F2" w:rsidRPr="00D909D2" w:rsidRDefault="008640F2" w:rsidP="008640F2">
            <w:pPr>
              <w:rPr>
                <w:rFonts w:cstheme="minorHAnsi"/>
                <w:sz w:val="20"/>
                <w:szCs w:val="20"/>
              </w:rPr>
            </w:pPr>
            <w:r w:rsidRPr="00D909D2">
              <w:rPr>
                <w:rFonts w:cstheme="minorHAnsi"/>
                <w:sz w:val="20"/>
                <w:szCs w:val="20"/>
              </w:rPr>
              <w:t>Status of Notes</w:t>
            </w:r>
          </w:p>
        </w:tc>
        <w:tc>
          <w:tcPr>
            <w:tcW w:w="6810" w:type="dxa"/>
          </w:tcPr>
          <w:p w:rsidR="008640F2" w:rsidRDefault="008640F2" w:rsidP="008640F2">
            <w:pPr>
              <w:rPr>
                <w:rFonts w:cstheme="minorHAnsi"/>
                <w:sz w:val="20"/>
                <w:szCs w:val="20"/>
                <w:lang w:val="it-IT"/>
              </w:rPr>
            </w:pPr>
            <w:r w:rsidRPr="00D909D2">
              <w:rPr>
                <w:rFonts w:cstheme="minorHAnsi"/>
                <w:sz w:val="20"/>
                <w:szCs w:val="20"/>
                <w:lang w:val="it-IT"/>
              </w:rPr>
              <w:t>Senior Preferred</w:t>
            </w:r>
          </w:p>
          <w:p w:rsidR="002C6930" w:rsidRPr="00D909D2" w:rsidRDefault="002C6930" w:rsidP="002C6930">
            <w:pPr>
              <w:jc w:val="both"/>
              <w:rPr>
                <w:rFonts w:cstheme="minorHAnsi"/>
                <w:sz w:val="20"/>
                <w:szCs w:val="20"/>
                <w:highlight w:val="yellow"/>
              </w:rPr>
            </w:pPr>
            <w:proofErr w:type="gramStart"/>
            <w:r>
              <w:rPr>
                <w:rFonts w:cstheme="minorHAnsi"/>
                <w:sz w:val="20"/>
                <w:szCs w:val="20"/>
              </w:rPr>
              <w:t>D</w:t>
            </w:r>
            <w:r w:rsidRPr="00443FA2">
              <w:rPr>
                <w:rFonts w:cstheme="minorHAnsi"/>
                <w:sz w:val="20"/>
                <w:szCs w:val="20"/>
              </w:rPr>
              <w:t>irect, unconditional, unsubordinated and unsecured obl</w:t>
            </w:r>
            <w:r>
              <w:rPr>
                <w:rFonts w:cstheme="minorHAnsi"/>
                <w:sz w:val="20"/>
                <w:szCs w:val="20"/>
              </w:rPr>
              <w:t>igations ranking</w:t>
            </w:r>
            <w:r w:rsidRPr="00443FA2">
              <w:rPr>
                <w:rFonts w:cstheme="minorHAnsi"/>
                <w:sz w:val="20"/>
                <w:szCs w:val="20"/>
              </w:rPr>
              <w:t xml:space="preserve"> </w:t>
            </w:r>
            <w:proofErr w:type="spellStart"/>
            <w:r w:rsidRPr="002C6930">
              <w:rPr>
                <w:rFonts w:cstheme="minorHAnsi"/>
                <w:i/>
                <w:sz w:val="20"/>
                <w:szCs w:val="20"/>
              </w:rPr>
              <w:t>pari</w:t>
            </w:r>
            <w:proofErr w:type="spellEnd"/>
            <w:r w:rsidRPr="002C6930">
              <w:rPr>
                <w:rFonts w:cstheme="minorHAnsi"/>
                <w:i/>
                <w:sz w:val="20"/>
                <w:szCs w:val="20"/>
              </w:rPr>
              <w:t xml:space="preserve"> </w:t>
            </w:r>
            <w:proofErr w:type="spellStart"/>
            <w:r w:rsidRPr="002C6930">
              <w:rPr>
                <w:rFonts w:cstheme="minorHAnsi"/>
                <w:i/>
                <w:sz w:val="20"/>
                <w:szCs w:val="20"/>
              </w:rPr>
              <w:t>passu</w:t>
            </w:r>
            <w:proofErr w:type="spellEnd"/>
            <w:r w:rsidRPr="00443FA2">
              <w:rPr>
                <w:rFonts w:cstheme="minorHAnsi"/>
                <w:sz w:val="20"/>
                <w:szCs w:val="20"/>
              </w:rPr>
              <w:t xml:space="preserve"> and rateably without any preference among themselves and (subject to any obligations preferred by any applicable law) equally with all other unsecured and unsubordinated indebtedness and monetary obligations (in</w:t>
            </w:r>
            <w:r>
              <w:rPr>
                <w:rFonts w:cstheme="minorHAnsi"/>
                <w:sz w:val="20"/>
                <w:szCs w:val="20"/>
              </w:rPr>
              <w:t>cluding deposits) of the Issuer</w:t>
            </w:r>
            <w:r w:rsidRPr="00443FA2">
              <w:rPr>
                <w:rFonts w:cstheme="minorHAnsi"/>
                <w:sz w:val="20"/>
                <w:szCs w:val="20"/>
              </w:rPr>
              <w:t>, present and future (other than obligations ranking, in accordance with their terms and/or by provision of law, junior to the Senior Notes from time to time (including Senior Non-Preferred Notes and any further obligations permitted by law to rank junior to the Senior Notes following the Issue Date)) if any.</w:t>
            </w:r>
            <w:proofErr w:type="gramEnd"/>
          </w:p>
        </w:tc>
      </w:tr>
      <w:tr w:rsidR="008640F2" w:rsidTr="008640F2">
        <w:trPr>
          <w:trHeight w:val="254"/>
        </w:trPr>
        <w:tc>
          <w:tcPr>
            <w:tcW w:w="3114" w:type="dxa"/>
          </w:tcPr>
          <w:p w:rsidR="008640F2" w:rsidRPr="00D909D2" w:rsidRDefault="008640F2" w:rsidP="008640F2">
            <w:pPr>
              <w:rPr>
                <w:rFonts w:cstheme="minorHAnsi"/>
                <w:sz w:val="20"/>
                <w:szCs w:val="20"/>
              </w:rPr>
            </w:pPr>
            <w:r w:rsidRPr="00D909D2">
              <w:rPr>
                <w:rFonts w:cstheme="minorHAnsi"/>
                <w:sz w:val="20"/>
                <w:szCs w:val="20"/>
              </w:rPr>
              <w:t xml:space="preserve">Format </w:t>
            </w:r>
          </w:p>
        </w:tc>
        <w:tc>
          <w:tcPr>
            <w:tcW w:w="6810" w:type="dxa"/>
          </w:tcPr>
          <w:p w:rsidR="008640F2" w:rsidRPr="00D909D2" w:rsidRDefault="008640F2" w:rsidP="008640F2">
            <w:pPr>
              <w:jc w:val="both"/>
              <w:rPr>
                <w:rFonts w:cstheme="minorHAnsi"/>
                <w:sz w:val="20"/>
                <w:szCs w:val="20"/>
              </w:rPr>
            </w:pPr>
            <w:r w:rsidRPr="00D909D2">
              <w:rPr>
                <w:rFonts w:cstheme="minorHAnsi"/>
                <w:sz w:val="20"/>
                <w:szCs w:val="20"/>
              </w:rPr>
              <w:t>Bearer – New Global Note</w:t>
            </w:r>
          </w:p>
        </w:tc>
      </w:tr>
      <w:tr w:rsidR="008640F2" w:rsidTr="008640F2">
        <w:trPr>
          <w:trHeight w:val="243"/>
        </w:trPr>
        <w:tc>
          <w:tcPr>
            <w:tcW w:w="3114" w:type="dxa"/>
          </w:tcPr>
          <w:p w:rsidR="008640F2" w:rsidRPr="00D909D2" w:rsidRDefault="008640F2" w:rsidP="008640F2">
            <w:pPr>
              <w:rPr>
                <w:rFonts w:cstheme="minorHAnsi"/>
                <w:sz w:val="20"/>
                <w:szCs w:val="20"/>
              </w:rPr>
            </w:pPr>
            <w:r w:rsidRPr="00D909D2">
              <w:rPr>
                <w:rFonts w:cstheme="minorHAnsi"/>
                <w:sz w:val="20"/>
                <w:szCs w:val="20"/>
              </w:rPr>
              <w:t>Expected Rating</w:t>
            </w:r>
          </w:p>
        </w:tc>
        <w:tc>
          <w:tcPr>
            <w:tcW w:w="6810" w:type="dxa"/>
          </w:tcPr>
          <w:p w:rsidR="008640F2" w:rsidRPr="00D909D2" w:rsidRDefault="008640F2" w:rsidP="00ED2B2E">
            <w:pPr>
              <w:jc w:val="both"/>
              <w:rPr>
                <w:rFonts w:cstheme="minorHAnsi"/>
                <w:sz w:val="20"/>
                <w:szCs w:val="20"/>
              </w:rPr>
            </w:pPr>
            <w:r w:rsidRPr="00D909D2">
              <w:rPr>
                <w:rFonts w:cstheme="minorHAnsi"/>
                <w:sz w:val="20"/>
                <w:szCs w:val="20"/>
              </w:rPr>
              <w:t>Baa3</w:t>
            </w:r>
            <w:r w:rsidR="00ED2B2E">
              <w:rPr>
                <w:rFonts w:cstheme="minorHAnsi"/>
                <w:sz w:val="20"/>
                <w:szCs w:val="20"/>
              </w:rPr>
              <w:t xml:space="preserve"> (</w:t>
            </w:r>
            <w:r w:rsidRPr="00D909D2">
              <w:rPr>
                <w:rFonts w:cstheme="minorHAnsi"/>
                <w:sz w:val="20"/>
                <w:szCs w:val="20"/>
              </w:rPr>
              <w:t>Moody's</w:t>
            </w:r>
            <w:r w:rsidR="00ED2B2E">
              <w:rPr>
                <w:rFonts w:cstheme="minorHAnsi"/>
                <w:sz w:val="20"/>
                <w:szCs w:val="20"/>
              </w:rPr>
              <w:t>)</w:t>
            </w:r>
            <w:r w:rsidRPr="00D909D2">
              <w:rPr>
                <w:rFonts w:cstheme="minorHAnsi"/>
                <w:sz w:val="20"/>
                <w:szCs w:val="20"/>
              </w:rPr>
              <w:t xml:space="preserve"> / BBB </w:t>
            </w:r>
            <w:r w:rsidR="00ED2B2E">
              <w:rPr>
                <w:rFonts w:cstheme="minorHAnsi"/>
                <w:sz w:val="20"/>
                <w:szCs w:val="20"/>
              </w:rPr>
              <w:t>(</w:t>
            </w:r>
            <w:r w:rsidRPr="00D909D2">
              <w:rPr>
                <w:rFonts w:cstheme="minorHAnsi"/>
                <w:sz w:val="20"/>
                <w:szCs w:val="20"/>
              </w:rPr>
              <w:t>Fitch</w:t>
            </w:r>
            <w:r w:rsidR="00ED2B2E">
              <w:rPr>
                <w:rFonts w:cstheme="minorHAnsi"/>
                <w:sz w:val="20"/>
                <w:szCs w:val="20"/>
              </w:rPr>
              <w:t>)</w:t>
            </w:r>
          </w:p>
        </w:tc>
      </w:tr>
      <w:tr w:rsidR="008640F2" w:rsidTr="008640F2">
        <w:trPr>
          <w:trHeight w:val="254"/>
        </w:trPr>
        <w:tc>
          <w:tcPr>
            <w:tcW w:w="3114" w:type="dxa"/>
          </w:tcPr>
          <w:p w:rsidR="008640F2" w:rsidRPr="00D909D2" w:rsidRDefault="008640F2" w:rsidP="008640F2">
            <w:pPr>
              <w:rPr>
                <w:rFonts w:cstheme="minorHAnsi"/>
                <w:sz w:val="20"/>
                <w:szCs w:val="20"/>
              </w:rPr>
            </w:pPr>
            <w:r w:rsidRPr="00D909D2">
              <w:rPr>
                <w:rFonts w:cstheme="minorHAnsi"/>
                <w:sz w:val="20"/>
                <w:szCs w:val="20"/>
              </w:rPr>
              <w:t>Currency</w:t>
            </w:r>
          </w:p>
        </w:tc>
        <w:tc>
          <w:tcPr>
            <w:tcW w:w="6810" w:type="dxa"/>
          </w:tcPr>
          <w:p w:rsidR="008640F2" w:rsidRPr="00D909D2" w:rsidRDefault="008640F2" w:rsidP="008640F2">
            <w:pPr>
              <w:jc w:val="both"/>
              <w:rPr>
                <w:rFonts w:cstheme="minorHAnsi"/>
                <w:sz w:val="20"/>
                <w:szCs w:val="20"/>
              </w:rPr>
            </w:pPr>
            <w:r w:rsidRPr="00D909D2">
              <w:rPr>
                <w:rFonts w:cstheme="minorHAnsi"/>
                <w:sz w:val="20"/>
                <w:szCs w:val="20"/>
              </w:rPr>
              <w:t>Euro (“EUR”)</w:t>
            </w:r>
          </w:p>
        </w:tc>
      </w:tr>
      <w:tr w:rsidR="008640F2" w:rsidTr="008640F2">
        <w:trPr>
          <w:trHeight w:val="254"/>
        </w:trPr>
        <w:tc>
          <w:tcPr>
            <w:tcW w:w="3114" w:type="dxa"/>
          </w:tcPr>
          <w:p w:rsidR="008640F2" w:rsidRPr="00D909D2" w:rsidRDefault="008640F2" w:rsidP="008640F2">
            <w:pPr>
              <w:rPr>
                <w:rFonts w:cstheme="minorHAnsi"/>
                <w:sz w:val="20"/>
                <w:szCs w:val="20"/>
              </w:rPr>
            </w:pPr>
            <w:r w:rsidRPr="00D909D2">
              <w:rPr>
                <w:rFonts w:cstheme="minorHAnsi"/>
                <w:sz w:val="20"/>
                <w:szCs w:val="20"/>
              </w:rPr>
              <w:t xml:space="preserve">Nominal Amount </w:t>
            </w:r>
          </w:p>
        </w:tc>
        <w:tc>
          <w:tcPr>
            <w:tcW w:w="6810" w:type="dxa"/>
          </w:tcPr>
          <w:p w:rsidR="008640F2" w:rsidRPr="00D909D2" w:rsidRDefault="00B5115D" w:rsidP="008640F2">
            <w:pPr>
              <w:jc w:val="both"/>
              <w:rPr>
                <w:rFonts w:cstheme="minorHAnsi"/>
                <w:sz w:val="20"/>
                <w:szCs w:val="20"/>
              </w:rPr>
            </w:pPr>
            <w:r>
              <w:rPr>
                <w:rFonts w:cstheme="minorHAnsi"/>
                <w:sz w:val="20"/>
                <w:szCs w:val="20"/>
              </w:rPr>
              <w:t xml:space="preserve">EUR </w:t>
            </w:r>
            <w:r w:rsidR="00ED2B2E">
              <w:rPr>
                <w:rFonts w:cstheme="minorHAnsi"/>
                <w:sz w:val="20"/>
                <w:szCs w:val="20"/>
              </w:rPr>
              <w:t>500,000,000</w:t>
            </w:r>
          </w:p>
        </w:tc>
      </w:tr>
      <w:tr w:rsidR="00503F08" w:rsidTr="008640F2">
        <w:trPr>
          <w:trHeight w:val="297"/>
        </w:trPr>
        <w:tc>
          <w:tcPr>
            <w:tcW w:w="3114" w:type="dxa"/>
          </w:tcPr>
          <w:p w:rsidR="00503F08" w:rsidRPr="00D909D2" w:rsidRDefault="00503F08" w:rsidP="00503F08">
            <w:pPr>
              <w:rPr>
                <w:rFonts w:cstheme="minorHAnsi"/>
                <w:sz w:val="20"/>
                <w:szCs w:val="20"/>
              </w:rPr>
            </w:pPr>
            <w:r w:rsidRPr="00D909D2">
              <w:rPr>
                <w:rFonts w:cstheme="minorHAnsi"/>
                <w:sz w:val="20"/>
                <w:szCs w:val="20"/>
              </w:rPr>
              <w:t>Pricing Date</w:t>
            </w:r>
          </w:p>
        </w:tc>
        <w:tc>
          <w:tcPr>
            <w:tcW w:w="6810" w:type="dxa"/>
          </w:tcPr>
          <w:p w:rsidR="00503F08" w:rsidRPr="00D909D2" w:rsidRDefault="00BE0FB4" w:rsidP="00B5115D">
            <w:pPr>
              <w:jc w:val="both"/>
              <w:rPr>
                <w:rFonts w:cstheme="minorHAnsi"/>
                <w:sz w:val="20"/>
                <w:szCs w:val="20"/>
              </w:rPr>
            </w:pPr>
            <w:r>
              <w:rPr>
                <w:rFonts w:cstheme="minorHAnsi"/>
                <w:sz w:val="20"/>
                <w:szCs w:val="20"/>
              </w:rPr>
              <w:t>18</w:t>
            </w:r>
            <w:r w:rsidR="00503F08" w:rsidRPr="00D909D2">
              <w:rPr>
                <w:rFonts w:cstheme="minorHAnsi"/>
                <w:sz w:val="20"/>
                <w:szCs w:val="20"/>
              </w:rPr>
              <w:t xml:space="preserve"> September 2023</w:t>
            </w:r>
          </w:p>
        </w:tc>
      </w:tr>
      <w:tr w:rsidR="00503F08" w:rsidTr="008640F2">
        <w:trPr>
          <w:trHeight w:val="297"/>
        </w:trPr>
        <w:tc>
          <w:tcPr>
            <w:tcW w:w="3114" w:type="dxa"/>
          </w:tcPr>
          <w:p w:rsidR="00503F08" w:rsidRPr="00D909D2" w:rsidRDefault="00503F08" w:rsidP="00503F08">
            <w:pPr>
              <w:rPr>
                <w:rFonts w:cstheme="minorHAnsi"/>
                <w:sz w:val="20"/>
                <w:szCs w:val="20"/>
              </w:rPr>
            </w:pPr>
            <w:r w:rsidRPr="00D909D2">
              <w:rPr>
                <w:rFonts w:cstheme="minorHAnsi"/>
                <w:sz w:val="20"/>
                <w:szCs w:val="20"/>
              </w:rPr>
              <w:t>Issue Date</w:t>
            </w:r>
          </w:p>
        </w:tc>
        <w:tc>
          <w:tcPr>
            <w:tcW w:w="6810" w:type="dxa"/>
          </w:tcPr>
          <w:p w:rsidR="00503F08" w:rsidRPr="00D909D2" w:rsidRDefault="00BE0FB4" w:rsidP="00B5115D">
            <w:pPr>
              <w:jc w:val="both"/>
              <w:rPr>
                <w:rFonts w:cstheme="minorHAnsi"/>
                <w:sz w:val="20"/>
                <w:szCs w:val="20"/>
              </w:rPr>
            </w:pPr>
            <w:r>
              <w:rPr>
                <w:rFonts w:cstheme="minorHAnsi"/>
                <w:sz w:val="20"/>
                <w:szCs w:val="20"/>
              </w:rPr>
              <w:t>2</w:t>
            </w:r>
            <w:r w:rsidR="007E6E0F">
              <w:rPr>
                <w:rFonts w:cstheme="minorHAnsi"/>
                <w:sz w:val="20"/>
                <w:szCs w:val="20"/>
              </w:rPr>
              <w:t>6 September 2023 (T+6</w:t>
            </w:r>
            <w:r w:rsidR="00503F08" w:rsidRPr="00D909D2">
              <w:rPr>
                <w:rFonts w:cstheme="minorHAnsi"/>
                <w:sz w:val="20"/>
                <w:szCs w:val="20"/>
              </w:rPr>
              <w:t>)</w:t>
            </w:r>
          </w:p>
        </w:tc>
      </w:tr>
      <w:tr w:rsidR="00503F08" w:rsidTr="008640F2">
        <w:trPr>
          <w:trHeight w:val="297"/>
        </w:trPr>
        <w:tc>
          <w:tcPr>
            <w:tcW w:w="3114" w:type="dxa"/>
          </w:tcPr>
          <w:p w:rsidR="00503F08" w:rsidRPr="00D909D2" w:rsidRDefault="00503F08" w:rsidP="00503F08">
            <w:pPr>
              <w:rPr>
                <w:rFonts w:cstheme="minorHAnsi"/>
                <w:sz w:val="20"/>
                <w:szCs w:val="20"/>
              </w:rPr>
            </w:pPr>
            <w:r w:rsidRPr="00D909D2">
              <w:rPr>
                <w:rFonts w:cstheme="minorHAnsi"/>
                <w:sz w:val="20"/>
                <w:szCs w:val="20"/>
              </w:rPr>
              <w:t>Maturity Date</w:t>
            </w:r>
          </w:p>
        </w:tc>
        <w:tc>
          <w:tcPr>
            <w:tcW w:w="6810" w:type="dxa"/>
          </w:tcPr>
          <w:p w:rsidR="00503F08" w:rsidRPr="00D909D2" w:rsidRDefault="00BE0FB4" w:rsidP="00B5115D">
            <w:pPr>
              <w:jc w:val="both"/>
              <w:rPr>
                <w:rFonts w:cstheme="minorHAnsi"/>
                <w:sz w:val="20"/>
                <w:szCs w:val="20"/>
              </w:rPr>
            </w:pPr>
            <w:r>
              <w:rPr>
                <w:rFonts w:cstheme="minorHAnsi"/>
                <w:sz w:val="20"/>
                <w:szCs w:val="20"/>
              </w:rPr>
              <w:t>2</w:t>
            </w:r>
            <w:r w:rsidR="007E6E0F">
              <w:rPr>
                <w:rFonts w:cstheme="minorHAnsi"/>
                <w:sz w:val="20"/>
                <w:szCs w:val="20"/>
              </w:rPr>
              <w:t>6</w:t>
            </w:r>
            <w:r w:rsidR="00503F08" w:rsidRPr="00D909D2">
              <w:rPr>
                <w:rFonts w:cstheme="minorHAnsi"/>
                <w:sz w:val="20"/>
                <w:szCs w:val="20"/>
              </w:rPr>
              <w:t xml:space="preserve"> March 2030</w:t>
            </w:r>
          </w:p>
        </w:tc>
      </w:tr>
      <w:tr w:rsidR="00503F08" w:rsidTr="008640F2">
        <w:trPr>
          <w:trHeight w:val="297"/>
        </w:trPr>
        <w:tc>
          <w:tcPr>
            <w:tcW w:w="3114" w:type="dxa"/>
          </w:tcPr>
          <w:p w:rsidR="00503F08" w:rsidRPr="00D909D2" w:rsidRDefault="00503F08" w:rsidP="00503F08">
            <w:pPr>
              <w:rPr>
                <w:rFonts w:cstheme="minorHAnsi"/>
                <w:sz w:val="20"/>
                <w:szCs w:val="20"/>
              </w:rPr>
            </w:pPr>
            <w:r w:rsidRPr="00D909D2">
              <w:rPr>
                <w:rFonts w:cstheme="minorHAnsi"/>
                <w:sz w:val="20"/>
                <w:szCs w:val="20"/>
              </w:rPr>
              <w:t>Optional Redemption Date (Call)</w:t>
            </w:r>
          </w:p>
        </w:tc>
        <w:tc>
          <w:tcPr>
            <w:tcW w:w="6810" w:type="dxa"/>
          </w:tcPr>
          <w:p w:rsidR="00503F08" w:rsidRPr="00D909D2" w:rsidRDefault="00BE0FB4" w:rsidP="00FC041E">
            <w:pPr>
              <w:jc w:val="both"/>
              <w:rPr>
                <w:rFonts w:cstheme="minorHAnsi"/>
                <w:sz w:val="20"/>
                <w:szCs w:val="20"/>
              </w:rPr>
            </w:pPr>
            <w:r>
              <w:rPr>
                <w:rFonts w:cstheme="minorHAnsi"/>
                <w:sz w:val="20"/>
                <w:szCs w:val="20"/>
              </w:rPr>
              <w:t>2</w:t>
            </w:r>
            <w:r w:rsidR="007E6E0F">
              <w:rPr>
                <w:rFonts w:cstheme="minorHAnsi"/>
                <w:sz w:val="20"/>
                <w:szCs w:val="20"/>
              </w:rPr>
              <w:t>6</w:t>
            </w:r>
            <w:r w:rsidR="00503F08" w:rsidRPr="00D909D2">
              <w:rPr>
                <w:rFonts w:cstheme="minorHAnsi"/>
                <w:sz w:val="20"/>
                <w:szCs w:val="20"/>
              </w:rPr>
              <w:t xml:space="preserve"> March 2029</w:t>
            </w:r>
          </w:p>
        </w:tc>
      </w:tr>
      <w:tr w:rsidR="00ED2B2E" w:rsidTr="008640F2">
        <w:trPr>
          <w:trHeight w:val="297"/>
        </w:trPr>
        <w:tc>
          <w:tcPr>
            <w:tcW w:w="3114" w:type="dxa"/>
          </w:tcPr>
          <w:p w:rsidR="00ED2B2E" w:rsidRPr="00D909D2" w:rsidRDefault="00ED2B2E" w:rsidP="00ED2B2E">
            <w:pPr>
              <w:rPr>
                <w:rFonts w:cstheme="minorHAnsi"/>
                <w:sz w:val="20"/>
                <w:szCs w:val="20"/>
              </w:rPr>
            </w:pPr>
            <w:r w:rsidRPr="00D909D2">
              <w:rPr>
                <w:rFonts w:cstheme="minorHAnsi"/>
                <w:sz w:val="20"/>
                <w:szCs w:val="20"/>
              </w:rPr>
              <w:t>Issue &amp; Re-offer Price</w:t>
            </w:r>
          </w:p>
        </w:tc>
        <w:tc>
          <w:tcPr>
            <w:tcW w:w="6810" w:type="dxa"/>
          </w:tcPr>
          <w:p w:rsidR="00ED2B2E" w:rsidRPr="00E760C8" w:rsidRDefault="00E84A8E" w:rsidP="00ED2B2E">
            <w:pPr>
              <w:jc w:val="both"/>
              <w:rPr>
                <w:rFonts w:cstheme="minorHAnsi"/>
                <w:sz w:val="20"/>
                <w:szCs w:val="20"/>
              </w:rPr>
            </w:pPr>
            <w:r w:rsidRPr="00E760C8">
              <w:rPr>
                <w:rFonts w:cstheme="minorHAnsi"/>
                <w:sz w:val="20"/>
                <w:szCs w:val="20"/>
              </w:rPr>
              <w:t>99.845</w:t>
            </w:r>
            <w:r w:rsidR="008825FF" w:rsidRPr="00E760C8">
              <w:rPr>
                <w:rFonts w:cstheme="minorHAnsi"/>
                <w:sz w:val="20"/>
                <w:szCs w:val="20"/>
              </w:rPr>
              <w:t>%</w:t>
            </w:r>
            <w:r w:rsidR="00ED2B2E" w:rsidRPr="00E760C8">
              <w:rPr>
                <w:rFonts w:cstheme="minorHAnsi"/>
                <w:sz w:val="20"/>
                <w:szCs w:val="20"/>
              </w:rPr>
              <w:t xml:space="preserve"> of the Nominal Amount</w:t>
            </w:r>
          </w:p>
        </w:tc>
      </w:tr>
      <w:tr w:rsidR="00ED2B2E" w:rsidTr="008640F2">
        <w:trPr>
          <w:trHeight w:val="297"/>
        </w:trPr>
        <w:tc>
          <w:tcPr>
            <w:tcW w:w="3114" w:type="dxa"/>
          </w:tcPr>
          <w:p w:rsidR="00ED2B2E" w:rsidRPr="00D909D2" w:rsidRDefault="00ED2B2E" w:rsidP="00ED2B2E">
            <w:pPr>
              <w:rPr>
                <w:rFonts w:cstheme="minorHAnsi"/>
                <w:sz w:val="20"/>
                <w:szCs w:val="20"/>
              </w:rPr>
            </w:pPr>
            <w:r w:rsidRPr="00D909D2">
              <w:rPr>
                <w:rFonts w:cstheme="minorHAnsi"/>
                <w:sz w:val="20"/>
                <w:szCs w:val="20"/>
              </w:rPr>
              <w:t>Gross Proceeds</w:t>
            </w:r>
          </w:p>
        </w:tc>
        <w:tc>
          <w:tcPr>
            <w:tcW w:w="6810" w:type="dxa"/>
          </w:tcPr>
          <w:p w:rsidR="00ED2B2E" w:rsidRPr="00E760C8" w:rsidRDefault="008825FF" w:rsidP="008825FF">
            <w:pPr>
              <w:jc w:val="both"/>
              <w:rPr>
                <w:rFonts w:cstheme="minorHAnsi"/>
                <w:sz w:val="20"/>
                <w:szCs w:val="20"/>
              </w:rPr>
            </w:pPr>
            <w:r w:rsidRPr="00E760C8">
              <w:rPr>
                <w:rFonts w:cstheme="minorHAnsi"/>
                <w:sz w:val="20"/>
                <w:szCs w:val="20"/>
              </w:rPr>
              <w:t>EUR 499,225,000</w:t>
            </w:r>
          </w:p>
        </w:tc>
      </w:tr>
      <w:tr w:rsidR="00ED2B2E" w:rsidTr="008640F2">
        <w:trPr>
          <w:trHeight w:val="297"/>
        </w:trPr>
        <w:tc>
          <w:tcPr>
            <w:tcW w:w="3114" w:type="dxa"/>
          </w:tcPr>
          <w:p w:rsidR="00ED2B2E" w:rsidRPr="00D909D2" w:rsidRDefault="00ED2B2E" w:rsidP="00ED2B2E">
            <w:pPr>
              <w:rPr>
                <w:rFonts w:cstheme="minorHAnsi"/>
                <w:sz w:val="20"/>
                <w:szCs w:val="20"/>
              </w:rPr>
            </w:pPr>
            <w:r w:rsidRPr="00D909D2">
              <w:rPr>
                <w:rFonts w:cstheme="minorHAnsi"/>
                <w:sz w:val="20"/>
                <w:szCs w:val="20"/>
              </w:rPr>
              <w:t>Joint Lead Managers fee</w:t>
            </w:r>
          </w:p>
        </w:tc>
        <w:tc>
          <w:tcPr>
            <w:tcW w:w="6810" w:type="dxa"/>
          </w:tcPr>
          <w:p w:rsidR="008825FF" w:rsidRPr="00E760C8" w:rsidRDefault="007B61C7" w:rsidP="008825FF">
            <w:pPr>
              <w:jc w:val="both"/>
              <w:rPr>
                <w:rFonts w:cstheme="minorHAnsi"/>
                <w:sz w:val="20"/>
                <w:szCs w:val="20"/>
              </w:rPr>
            </w:pPr>
            <w:r w:rsidRPr="00E760C8">
              <w:rPr>
                <w:rFonts w:cstheme="minorHAnsi"/>
                <w:sz w:val="20"/>
                <w:szCs w:val="20"/>
              </w:rPr>
              <w:t>0.235</w:t>
            </w:r>
            <w:r w:rsidR="00ED2B2E" w:rsidRPr="00E760C8">
              <w:rPr>
                <w:rFonts w:cstheme="minorHAnsi"/>
                <w:sz w:val="20"/>
                <w:szCs w:val="20"/>
              </w:rPr>
              <w:t xml:space="preserve"> per cent of the Nominal Amount of the Notes</w:t>
            </w:r>
          </w:p>
        </w:tc>
      </w:tr>
      <w:tr w:rsidR="00ED2B2E" w:rsidTr="008640F2">
        <w:trPr>
          <w:trHeight w:val="297"/>
        </w:trPr>
        <w:tc>
          <w:tcPr>
            <w:tcW w:w="3114" w:type="dxa"/>
          </w:tcPr>
          <w:p w:rsidR="00ED2B2E" w:rsidRPr="00D909D2" w:rsidRDefault="00ED2B2E" w:rsidP="00ED2B2E">
            <w:pPr>
              <w:rPr>
                <w:rFonts w:cstheme="minorHAnsi"/>
                <w:sz w:val="20"/>
                <w:szCs w:val="20"/>
              </w:rPr>
            </w:pPr>
            <w:r w:rsidRPr="00D909D2">
              <w:rPr>
                <w:rFonts w:cstheme="minorHAnsi"/>
                <w:sz w:val="20"/>
                <w:szCs w:val="20"/>
              </w:rPr>
              <w:t>All-in Price</w:t>
            </w:r>
          </w:p>
        </w:tc>
        <w:tc>
          <w:tcPr>
            <w:tcW w:w="6810" w:type="dxa"/>
          </w:tcPr>
          <w:p w:rsidR="00ED2B2E" w:rsidRPr="00E760C8" w:rsidRDefault="008825FF" w:rsidP="00ED2B2E">
            <w:pPr>
              <w:jc w:val="both"/>
              <w:rPr>
                <w:rFonts w:cstheme="minorHAnsi"/>
                <w:sz w:val="20"/>
                <w:szCs w:val="20"/>
              </w:rPr>
            </w:pPr>
            <w:r w:rsidRPr="00E760C8">
              <w:rPr>
                <w:rFonts w:cstheme="minorHAnsi"/>
                <w:sz w:val="20"/>
                <w:szCs w:val="20"/>
              </w:rPr>
              <w:t>99.610</w:t>
            </w:r>
            <w:r w:rsidR="00ED2B2E" w:rsidRPr="00E760C8">
              <w:rPr>
                <w:rFonts w:cstheme="minorHAnsi"/>
                <w:sz w:val="20"/>
                <w:szCs w:val="20"/>
              </w:rPr>
              <w:t xml:space="preserve"> %</w:t>
            </w:r>
          </w:p>
        </w:tc>
      </w:tr>
      <w:tr w:rsidR="00ED2B2E" w:rsidTr="008640F2">
        <w:trPr>
          <w:trHeight w:val="297"/>
        </w:trPr>
        <w:tc>
          <w:tcPr>
            <w:tcW w:w="3114" w:type="dxa"/>
          </w:tcPr>
          <w:p w:rsidR="00ED2B2E" w:rsidRPr="00D909D2" w:rsidRDefault="00ED2B2E" w:rsidP="00ED2B2E">
            <w:pPr>
              <w:rPr>
                <w:rFonts w:cstheme="minorHAnsi"/>
                <w:sz w:val="20"/>
                <w:szCs w:val="20"/>
              </w:rPr>
            </w:pPr>
            <w:r w:rsidRPr="00D909D2">
              <w:rPr>
                <w:rFonts w:cstheme="minorHAnsi"/>
                <w:sz w:val="20"/>
                <w:szCs w:val="20"/>
              </w:rPr>
              <w:t>Net Proceeds</w:t>
            </w:r>
          </w:p>
        </w:tc>
        <w:tc>
          <w:tcPr>
            <w:tcW w:w="6810" w:type="dxa"/>
          </w:tcPr>
          <w:p w:rsidR="00ED2B2E" w:rsidRPr="00E760C8" w:rsidRDefault="00ED2B2E" w:rsidP="00ED2B2E">
            <w:pPr>
              <w:jc w:val="both"/>
              <w:rPr>
                <w:rFonts w:cstheme="minorHAnsi"/>
                <w:sz w:val="20"/>
                <w:szCs w:val="20"/>
              </w:rPr>
            </w:pPr>
            <w:r w:rsidRPr="00E760C8">
              <w:rPr>
                <w:rFonts w:cstheme="minorHAnsi"/>
                <w:sz w:val="20"/>
                <w:szCs w:val="20"/>
              </w:rPr>
              <w:t xml:space="preserve">EUR </w:t>
            </w:r>
            <w:r w:rsidR="008825FF" w:rsidRPr="00E760C8">
              <w:rPr>
                <w:rFonts w:cstheme="minorHAnsi"/>
                <w:sz w:val="20"/>
                <w:szCs w:val="20"/>
              </w:rPr>
              <w:t>498,050,000</w:t>
            </w:r>
          </w:p>
        </w:tc>
      </w:tr>
      <w:tr w:rsidR="00ED2B2E" w:rsidTr="008640F2">
        <w:trPr>
          <w:trHeight w:val="297"/>
        </w:trPr>
        <w:tc>
          <w:tcPr>
            <w:tcW w:w="3114" w:type="dxa"/>
          </w:tcPr>
          <w:p w:rsidR="00ED2B2E" w:rsidRPr="00D909D2" w:rsidRDefault="00ED2B2E" w:rsidP="00ED2B2E">
            <w:pPr>
              <w:rPr>
                <w:rFonts w:cstheme="minorHAnsi"/>
                <w:sz w:val="20"/>
                <w:szCs w:val="20"/>
              </w:rPr>
            </w:pPr>
            <w:r w:rsidRPr="004B2EF2">
              <w:rPr>
                <w:rFonts w:cstheme="minorHAnsi"/>
                <w:sz w:val="20"/>
                <w:szCs w:val="20"/>
              </w:rPr>
              <w:t>Use of Proceeds</w:t>
            </w:r>
          </w:p>
        </w:tc>
        <w:tc>
          <w:tcPr>
            <w:tcW w:w="6810" w:type="dxa"/>
          </w:tcPr>
          <w:p w:rsidR="00ED2B2E" w:rsidRPr="00E760C8" w:rsidRDefault="00ED2B2E" w:rsidP="00ED2B2E">
            <w:pPr>
              <w:jc w:val="both"/>
              <w:rPr>
                <w:rFonts w:cstheme="minorHAnsi"/>
                <w:sz w:val="20"/>
                <w:szCs w:val="20"/>
              </w:rPr>
            </w:pPr>
            <w:r w:rsidRPr="00E760C8">
              <w:rPr>
                <w:sz w:val="20"/>
              </w:rPr>
              <w:t xml:space="preserve">An </w:t>
            </w:r>
            <w:r w:rsidRPr="00E760C8">
              <w:rPr>
                <w:sz w:val="20"/>
                <w:szCs w:val="20"/>
              </w:rPr>
              <w:t xml:space="preserve">amount of the net proceeds of the bonds </w:t>
            </w:r>
            <w:proofErr w:type="gramStart"/>
            <w:r w:rsidRPr="00E760C8">
              <w:rPr>
                <w:sz w:val="20"/>
                <w:szCs w:val="20"/>
              </w:rPr>
              <w:t>will be allocated</w:t>
            </w:r>
            <w:proofErr w:type="gramEnd"/>
            <w:r w:rsidRPr="00E760C8">
              <w:rPr>
                <w:sz w:val="20"/>
                <w:szCs w:val="20"/>
              </w:rPr>
              <w:t xml:space="preserve"> to finance and re-finance Eligible Social Assets identified as such within the Issuer's Green, Social &amp; Sustainability Bond Framework. </w:t>
            </w:r>
            <w:r w:rsidRPr="00E760C8">
              <w:rPr>
                <w:rFonts w:cstheme="minorHAnsi"/>
                <w:sz w:val="20"/>
                <w:szCs w:val="20"/>
              </w:rPr>
              <w:t>The framework is available on the Issuer’s website (</w:t>
            </w:r>
            <w:hyperlink r:id="rId8" w:history="1">
              <w:r w:rsidRPr="00E760C8">
                <w:rPr>
                  <w:rStyle w:val="Hyperlink"/>
                  <w:rFonts w:cstheme="minorHAnsi"/>
                  <w:sz w:val="20"/>
                  <w:szCs w:val="20"/>
                </w:rPr>
                <w:t>link</w:t>
              </w:r>
            </w:hyperlink>
            <w:r w:rsidRPr="00E760C8">
              <w:rPr>
                <w:rFonts w:cstheme="minorHAnsi"/>
                <w:sz w:val="20"/>
                <w:szCs w:val="20"/>
              </w:rPr>
              <w:t>)</w:t>
            </w:r>
          </w:p>
        </w:tc>
      </w:tr>
      <w:tr w:rsidR="00ED2B2E" w:rsidTr="008640F2">
        <w:trPr>
          <w:trHeight w:val="297"/>
        </w:trPr>
        <w:tc>
          <w:tcPr>
            <w:tcW w:w="3114" w:type="dxa"/>
          </w:tcPr>
          <w:p w:rsidR="00ED2B2E" w:rsidRPr="00D909D2" w:rsidRDefault="00ED2B2E" w:rsidP="00ED2B2E">
            <w:pPr>
              <w:rPr>
                <w:rFonts w:cstheme="minorHAnsi"/>
                <w:sz w:val="20"/>
                <w:szCs w:val="20"/>
              </w:rPr>
            </w:pPr>
            <w:r w:rsidRPr="00D909D2">
              <w:rPr>
                <w:rFonts w:cstheme="minorHAnsi"/>
                <w:sz w:val="20"/>
                <w:szCs w:val="20"/>
              </w:rPr>
              <w:t>Re-offer Yield</w:t>
            </w:r>
          </w:p>
        </w:tc>
        <w:tc>
          <w:tcPr>
            <w:tcW w:w="6810" w:type="dxa"/>
          </w:tcPr>
          <w:p w:rsidR="00ED2B2E" w:rsidRPr="00E760C8" w:rsidRDefault="008825FF" w:rsidP="008825FF">
            <w:pPr>
              <w:jc w:val="both"/>
              <w:rPr>
                <w:rFonts w:cstheme="minorHAnsi"/>
                <w:sz w:val="20"/>
                <w:szCs w:val="20"/>
              </w:rPr>
            </w:pPr>
            <w:r w:rsidRPr="00E760C8">
              <w:rPr>
                <w:rFonts w:cstheme="minorHAnsi"/>
                <w:sz w:val="20"/>
                <w:szCs w:val="20"/>
              </w:rPr>
              <w:t>4.914</w:t>
            </w:r>
            <w:r w:rsidR="00ED2B2E" w:rsidRPr="00E760C8">
              <w:rPr>
                <w:rFonts w:cstheme="minorHAnsi"/>
                <w:sz w:val="20"/>
                <w:szCs w:val="20"/>
              </w:rPr>
              <w:t xml:space="preserve"> % </w:t>
            </w:r>
          </w:p>
        </w:tc>
      </w:tr>
      <w:tr w:rsidR="00ED2B2E" w:rsidTr="008640F2">
        <w:trPr>
          <w:trHeight w:val="254"/>
        </w:trPr>
        <w:tc>
          <w:tcPr>
            <w:tcW w:w="3114" w:type="dxa"/>
          </w:tcPr>
          <w:p w:rsidR="00ED2B2E" w:rsidRPr="00D909D2" w:rsidRDefault="00ED2B2E" w:rsidP="00ED2B2E">
            <w:pPr>
              <w:rPr>
                <w:rFonts w:cstheme="minorHAnsi"/>
                <w:sz w:val="20"/>
                <w:szCs w:val="20"/>
              </w:rPr>
            </w:pPr>
            <w:r>
              <w:rPr>
                <w:rFonts w:cstheme="minorHAnsi"/>
                <w:sz w:val="20"/>
                <w:szCs w:val="20"/>
              </w:rPr>
              <w:t xml:space="preserve">5 year </w:t>
            </w:r>
            <w:r w:rsidRPr="00D909D2">
              <w:rPr>
                <w:rFonts w:cstheme="minorHAnsi"/>
                <w:sz w:val="20"/>
                <w:szCs w:val="20"/>
              </w:rPr>
              <w:t>Mid-Swap Rate</w:t>
            </w:r>
          </w:p>
        </w:tc>
        <w:tc>
          <w:tcPr>
            <w:tcW w:w="6810" w:type="dxa"/>
          </w:tcPr>
          <w:p w:rsidR="00ED2B2E" w:rsidRPr="00E760C8" w:rsidRDefault="008825FF" w:rsidP="00ED2B2E">
            <w:pPr>
              <w:jc w:val="both"/>
              <w:rPr>
                <w:rFonts w:cstheme="minorHAnsi"/>
                <w:sz w:val="20"/>
                <w:szCs w:val="20"/>
              </w:rPr>
            </w:pPr>
            <w:r w:rsidRPr="00E760C8">
              <w:rPr>
                <w:rFonts w:cstheme="minorHAnsi"/>
                <w:sz w:val="20"/>
                <w:szCs w:val="20"/>
              </w:rPr>
              <w:t xml:space="preserve">3.341 </w:t>
            </w:r>
            <w:r w:rsidR="00ED2B2E" w:rsidRPr="00E760C8">
              <w:rPr>
                <w:rFonts w:cstheme="minorHAnsi"/>
                <w:sz w:val="20"/>
                <w:szCs w:val="20"/>
              </w:rPr>
              <w:t xml:space="preserve">% </w:t>
            </w:r>
          </w:p>
        </w:tc>
      </w:tr>
      <w:tr w:rsidR="00ED2B2E" w:rsidTr="008640F2">
        <w:trPr>
          <w:trHeight w:val="291"/>
        </w:trPr>
        <w:tc>
          <w:tcPr>
            <w:tcW w:w="3114" w:type="dxa"/>
          </w:tcPr>
          <w:p w:rsidR="00ED2B2E" w:rsidRDefault="00ED2B2E" w:rsidP="00ED2B2E">
            <w:pPr>
              <w:rPr>
                <w:rFonts w:cstheme="minorHAnsi"/>
                <w:sz w:val="20"/>
                <w:szCs w:val="20"/>
              </w:rPr>
            </w:pPr>
            <w:r>
              <w:rPr>
                <w:rFonts w:cstheme="minorHAnsi"/>
                <w:sz w:val="20"/>
                <w:szCs w:val="20"/>
              </w:rPr>
              <w:t xml:space="preserve">6 year </w:t>
            </w:r>
            <w:r w:rsidRPr="00D909D2">
              <w:rPr>
                <w:rFonts w:cstheme="minorHAnsi"/>
                <w:sz w:val="20"/>
                <w:szCs w:val="20"/>
              </w:rPr>
              <w:t>Mid-Swap Rate</w:t>
            </w:r>
          </w:p>
        </w:tc>
        <w:tc>
          <w:tcPr>
            <w:tcW w:w="6810" w:type="dxa"/>
          </w:tcPr>
          <w:p w:rsidR="00ED2B2E" w:rsidRPr="00E760C8" w:rsidRDefault="008825FF" w:rsidP="00ED2B2E">
            <w:pPr>
              <w:jc w:val="both"/>
              <w:rPr>
                <w:rFonts w:cstheme="minorHAnsi"/>
                <w:sz w:val="20"/>
                <w:szCs w:val="20"/>
              </w:rPr>
            </w:pPr>
            <w:r w:rsidRPr="00E760C8">
              <w:rPr>
                <w:rFonts w:cstheme="minorHAnsi"/>
                <w:sz w:val="20"/>
                <w:szCs w:val="20"/>
              </w:rPr>
              <w:t>3.289</w:t>
            </w:r>
            <w:r w:rsidR="00ED2B2E" w:rsidRPr="00E760C8">
              <w:rPr>
                <w:rFonts w:cstheme="minorHAnsi"/>
                <w:sz w:val="20"/>
                <w:szCs w:val="20"/>
              </w:rPr>
              <w:t xml:space="preserve"> %</w:t>
            </w:r>
          </w:p>
        </w:tc>
      </w:tr>
      <w:tr w:rsidR="00ED2B2E" w:rsidTr="008640F2">
        <w:trPr>
          <w:trHeight w:val="254"/>
        </w:trPr>
        <w:tc>
          <w:tcPr>
            <w:tcW w:w="3114" w:type="dxa"/>
          </w:tcPr>
          <w:p w:rsidR="00ED2B2E" w:rsidRDefault="00ED2B2E" w:rsidP="00ED2B2E">
            <w:pPr>
              <w:rPr>
                <w:rFonts w:cstheme="minorHAnsi"/>
                <w:sz w:val="20"/>
                <w:szCs w:val="20"/>
              </w:rPr>
            </w:pPr>
            <w:r>
              <w:rPr>
                <w:rFonts w:cstheme="minorHAnsi"/>
                <w:sz w:val="20"/>
                <w:szCs w:val="20"/>
              </w:rPr>
              <w:t xml:space="preserve">Interpolated 5.5 year </w:t>
            </w:r>
            <w:r w:rsidRPr="00D909D2">
              <w:rPr>
                <w:rFonts w:cstheme="minorHAnsi"/>
                <w:sz w:val="20"/>
                <w:szCs w:val="20"/>
              </w:rPr>
              <w:t>Mid-Swap Rate</w:t>
            </w:r>
          </w:p>
        </w:tc>
        <w:tc>
          <w:tcPr>
            <w:tcW w:w="6810" w:type="dxa"/>
          </w:tcPr>
          <w:p w:rsidR="00ED2B2E" w:rsidRPr="00E760C8" w:rsidRDefault="008825FF" w:rsidP="008825FF">
            <w:pPr>
              <w:jc w:val="both"/>
              <w:rPr>
                <w:rFonts w:cstheme="minorHAnsi"/>
                <w:sz w:val="20"/>
                <w:szCs w:val="20"/>
              </w:rPr>
            </w:pPr>
            <w:r w:rsidRPr="00E760C8">
              <w:rPr>
                <w:rFonts w:cstheme="minorHAnsi"/>
                <w:sz w:val="20"/>
                <w:szCs w:val="20"/>
              </w:rPr>
              <w:t>3.314</w:t>
            </w:r>
            <w:r w:rsidR="00ED2B2E" w:rsidRPr="00E760C8">
              <w:rPr>
                <w:rFonts w:cstheme="minorHAnsi"/>
                <w:sz w:val="20"/>
                <w:szCs w:val="20"/>
              </w:rPr>
              <w:t xml:space="preserve"> %</w:t>
            </w:r>
          </w:p>
        </w:tc>
      </w:tr>
      <w:tr w:rsidR="00ED2B2E" w:rsidTr="008640F2">
        <w:trPr>
          <w:trHeight w:val="254"/>
        </w:trPr>
        <w:tc>
          <w:tcPr>
            <w:tcW w:w="3114" w:type="dxa"/>
          </w:tcPr>
          <w:p w:rsidR="00ED2B2E" w:rsidRPr="00D909D2" w:rsidRDefault="00ED2B2E" w:rsidP="00ED2B2E">
            <w:pPr>
              <w:rPr>
                <w:rFonts w:cstheme="minorHAnsi"/>
                <w:sz w:val="20"/>
                <w:szCs w:val="20"/>
              </w:rPr>
            </w:pPr>
            <w:r w:rsidRPr="008825FF">
              <w:rPr>
                <w:rFonts w:cstheme="minorHAnsi"/>
                <w:sz w:val="20"/>
                <w:szCs w:val="20"/>
              </w:rPr>
              <w:lastRenderedPageBreak/>
              <w:t>Re-offer Spread vs Interpolated 5.5 year Mid-Swap Rate</w:t>
            </w:r>
          </w:p>
        </w:tc>
        <w:tc>
          <w:tcPr>
            <w:tcW w:w="6810" w:type="dxa"/>
          </w:tcPr>
          <w:p w:rsidR="00ED2B2E" w:rsidRPr="00E760C8" w:rsidRDefault="004162BE" w:rsidP="00ED2B2E">
            <w:pPr>
              <w:jc w:val="both"/>
              <w:rPr>
                <w:rFonts w:cstheme="minorHAnsi"/>
                <w:sz w:val="20"/>
                <w:szCs w:val="20"/>
              </w:rPr>
            </w:pPr>
            <w:r w:rsidRPr="00E760C8">
              <w:rPr>
                <w:rFonts w:cstheme="minorHAnsi"/>
                <w:sz w:val="20"/>
                <w:szCs w:val="20"/>
              </w:rPr>
              <w:t>MS+160</w:t>
            </w:r>
            <w:r w:rsidR="00ED2B2E" w:rsidRPr="00E760C8">
              <w:rPr>
                <w:rFonts w:cstheme="minorHAnsi"/>
                <w:sz w:val="20"/>
                <w:szCs w:val="20"/>
              </w:rPr>
              <w:t xml:space="preserve"> bps</w:t>
            </w:r>
          </w:p>
        </w:tc>
        <w:bookmarkStart w:id="0" w:name="_GoBack"/>
        <w:bookmarkEnd w:id="0"/>
      </w:tr>
      <w:tr w:rsidR="00ED2B2E" w:rsidTr="008640F2">
        <w:trPr>
          <w:trHeight w:val="268"/>
        </w:trPr>
        <w:tc>
          <w:tcPr>
            <w:tcW w:w="3114" w:type="dxa"/>
          </w:tcPr>
          <w:p w:rsidR="00ED2B2E" w:rsidRPr="00D909D2" w:rsidRDefault="00ED2B2E" w:rsidP="00ED2B2E">
            <w:pPr>
              <w:rPr>
                <w:rFonts w:cstheme="minorHAnsi"/>
                <w:sz w:val="20"/>
                <w:szCs w:val="20"/>
              </w:rPr>
            </w:pPr>
            <w:r w:rsidRPr="00D909D2">
              <w:rPr>
                <w:rFonts w:cstheme="minorHAnsi"/>
                <w:sz w:val="20"/>
                <w:szCs w:val="20"/>
              </w:rPr>
              <w:t>Re-offer Spread vs Benchmark</w:t>
            </w:r>
          </w:p>
        </w:tc>
        <w:tc>
          <w:tcPr>
            <w:tcW w:w="6810" w:type="dxa"/>
          </w:tcPr>
          <w:p w:rsidR="00ED2B2E" w:rsidRPr="00E760C8" w:rsidRDefault="008825FF" w:rsidP="00ED2B2E">
            <w:pPr>
              <w:jc w:val="both"/>
              <w:rPr>
                <w:rFonts w:cstheme="minorHAnsi"/>
                <w:sz w:val="20"/>
                <w:szCs w:val="20"/>
              </w:rPr>
            </w:pPr>
            <w:r w:rsidRPr="00E760C8">
              <w:rPr>
                <w:rFonts w:cstheme="minorHAnsi"/>
                <w:sz w:val="20"/>
                <w:szCs w:val="20"/>
              </w:rPr>
              <w:t>DBR 0 ¼ 02/15/29 + 224.5bps (</w:t>
            </w:r>
            <w:proofErr w:type="spellStart"/>
            <w:r w:rsidRPr="00E760C8">
              <w:rPr>
                <w:rFonts w:cstheme="minorHAnsi"/>
                <w:sz w:val="20"/>
                <w:szCs w:val="20"/>
              </w:rPr>
              <w:t>px</w:t>
            </w:r>
            <w:proofErr w:type="spellEnd"/>
            <w:r w:rsidRPr="00E760C8">
              <w:rPr>
                <w:rFonts w:cstheme="minorHAnsi"/>
                <w:sz w:val="20"/>
                <w:szCs w:val="20"/>
              </w:rPr>
              <w:t xml:space="preserve"> 87.970)</w:t>
            </w:r>
          </w:p>
        </w:tc>
      </w:tr>
      <w:tr w:rsidR="00ED2B2E" w:rsidTr="008640F2">
        <w:trPr>
          <w:trHeight w:val="983"/>
        </w:trPr>
        <w:tc>
          <w:tcPr>
            <w:tcW w:w="3114" w:type="dxa"/>
          </w:tcPr>
          <w:p w:rsidR="00ED2B2E" w:rsidRPr="00D909D2" w:rsidRDefault="00ED2B2E" w:rsidP="00ED2B2E">
            <w:pPr>
              <w:rPr>
                <w:rFonts w:cstheme="minorHAnsi"/>
                <w:sz w:val="20"/>
                <w:szCs w:val="20"/>
              </w:rPr>
            </w:pPr>
            <w:r w:rsidRPr="00D909D2">
              <w:rPr>
                <w:rFonts w:cstheme="minorHAnsi"/>
                <w:sz w:val="20"/>
                <w:szCs w:val="20"/>
              </w:rPr>
              <w:t>Interest</w:t>
            </w:r>
          </w:p>
        </w:tc>
        <w:tc>
          <w:tcPr>
            <w:tcW w:w="6810" w:type="dxa"/>
          </w:tcPr>
          <w:p w:rsidR="00ED2B2E" w:rsidRPr="00E760C8" w:rsidRDefault="008825FF" w:rsidP="00ED2B2E">
            <w:pPr>
              <w:jc w:val="both"/>
              <w:rPr>
                <w:rFonts w:cstheme="minorHAnsi"/>
                <w:sz w:val="20"/>
                <w:szCs w:val="20"/>
              </w:rPr>
            </w:pPr>
            <w:r w:rsidRPr="00E760C8">
              <w:rPr>
                <w:rFonts w:cstheme="minorHAnsi"/>
                <w:sz w:val="20"/>
                <w:szCs w:val="20"/>
              </w:rPr>
              <w:t>Prior to the Call Date: 4.875</w:t>
            </w:r>
            <w:r w:rsidR="00ED2B2E" w:rsidRPr="00E760C8">
              <w:rPr>
                <w:rFonts w:cstheme="minorHAnsi"/>
                <w:sz w:val="20"/>
                <w:szCs w:val="20"/>
              </w:rPr>
              <w:t xml:space="preserve">% fixed rate (Fixed Rate Interest Period) payable annually in </w:t>
            </w:r>
            <w:proofErr w:type="spellStart"/>
            <w:r w:rsidR="00ED2B2E" w:rsidRPr="00E760C8">
              <w:rPr>
                <w:rFonts w:cstheme="minorHAnsi"/>
                <w:sz w:val="20"/>
                <w:szCs w:val="20"/>
              </w:rPr>
              <w:t>arrear</w:t>
            </w:r>
            <w:proofErr w:type="spellEnd"/>
            <w:r w:rsidR="00ED2B2E" w:rsidRPr="00E760C8">
              <w:rPr>
                <w:rFonts w:cstheme="minorHAnsi"/>
                <w:sz w:val="20"/>
                <w:szCs w:val="20"/>
              </w:rPr>
              <w:t>.</w:t>
            </w:r>
          </w:p>
          <w:p w:rsidR="00ED2B2E" w:rsidRPr="00E760C8" w:rsidRDefault="00ED2B2E" w:rsidP="00ED2B2E">
            <w:pPr>
              <w:jc w:val="both"/>
              <w:rPr>
                <w:rFonts w:cstheme="minorHAnsi"/>
                <w:sz w:val="20"/>
                <w:szCs w:val="20"/>
              </w:rPr>
            </w:pPr>
            <w:r w:rsidRPr="00E760C8">
              <w:rPr>
                <w:rFonts w:cstheme="minorHAnsi"/>
                <w:sz w:val="20"/>
                <w:szCs w:val="20"/>
              </w:rPr>
              <w:t>Thereafter: If call option not exe</w:t>
            </w:r>
            <w:r w:rsidR="008825FF" w:rsidRPr="00E760C8">
              <w:rPr>
                <w:rFonts w:cstheme="minorHAnsi"/>
                <w:sz w:val="20"/>
                <w:szCs w:val="20"/>
              </w:rPr>
              <w:t xml:space="preserve">rcised, 3-month </w:t>
            </w:r>
            <w:proofErr w:type="spellStart"/>
            <w:r w:rsidR="008825FF" w:rsidRPr="00E760C8">
              <w:rPr>
                <w:rFonts w:cstheme="minorHAnsi"/>
                <w:sz w:val="20"/>
                <w:szCs w:val="20"/>
              </w:rPr>
              <w:t>Euribor</w:t>
            </w:r>
            <w:proofErr w:type="spellEnd"/>
            <w:r w:rsidR="008825FF" w:rsidRPr="00E760C8">
              <w:rPr>
                <w:rFonts w:cstheme="minorHAnsi"/>
                <w:sz w:val="20"/>
                <w:szCs w:val="20"/>
              </w:rPr>
              <w:t xml:space="preserve"> plus 160</w:t>
            </w:r>
            <w:r w:rsidRPr="00E760C8">
              <w:rPr>
                <w:rFonts w:cstheme="minorHAnsi"/>
                <w:sz w:val="20"/>
                <w:szCs w:val="20"/>
              </w:rPr>
              <w:t>bps per annum (Floating Rate Interest Period) (no step up) payable quarterly</w:t>
            </w:r>
          </w:p>
        </w:tc>
      </w:tr>
      <w:tr w:rsidR="00ED2B2E" w:rsidTr="008640F2">
        <w:trPr>
          <w:trHeight w:val="545"/>
        </w:trPr>
        <w:tc>
          <w:tcPr>
            <w:tcW w:w="3114" w:type="dxa"/>
          </w:tcPr>
          <w:p w:rsidR="00ED2B2E" w:rsidRPr="00D909D2" w:rsidRDefault="00ED2B2E" w:rsidP="00ED2B2E">
            <w:pPr>
              <w:rPr>
                <w:rFonts w:cstheme="minorHAnsi"/>
                <w:sz w:val="20"/>
                <w:szCs w:val="20"/>
              </w:rPr>
            </w:pPr>
            <w:r w:rsidRPr="00D909D2">
              <w:rPr>
                <w:rFonts w:cstheme="minorHAnsi"/>
                <w:sz w:val="20"/>
                <w:szCs w:val="20"/>
              </w:rPr>
              <w:t>Interest Payment Dates</w:t>
            </w:r>
          </w:p>
        </w:tc>
        <w:tc>
          <w:tcPr>
            <w:tcW w:w="6810" w:type="dxa"/>
          </w:tcPr>
          <w:p w:rsidR="00ED2B2E" w:rsidRPr="00D909D2" w:rsidRDefault="00BE0FB4" w:rsidP="00E84A8E">
            <w:pPr>
              <w:jc w:val="both"/>
              <w:rPr>
                <w:rFonts w:cstheme="minorHAnsi"/>
                <w:sz w:val="20"/>
                <w:szCs w:val="20"/>
              </w:rPr>
            </w:pPr>
            <w:r>
              <w:rPr>
                <w:rFonts w:cstheme="minorHAnsi"/>
                <w:sz w:val="20"/>
                <w:szCs w:val="20"/>
              </w:rPr>
              <w:t>2</w:t>
            </w:r>
            <w:r w:rsidR="007E6E0F">
              <w:rPr>
                <w:rFonts w:cstheme="minorHAnsi"/>
                <w:sz w:val="20"/>
                <w:szCs w:val="20"/>
              </w:rPr>
              <w:t>6</w:t>
            </w:r>
            <w:r w:rsidR="00FB0E2A">
              <w:rPr>
                <w:rFonts w:cstheme="minorHAnsi"/>
                <w:sz w:val="20"/>
                <w:szCs w:val="20"/>
              </w:rPr>
              <w:t xml:space="preserve"> </w:t>
            </w:r>
            <w:r w:rsidR="00ED2B2E" w:rsidRPr="00ED2B2E">
              <w:rPr>
                <w:rFonts w:cstheme="minorHAnsi"/>
                <w:sz w:val="20"/>
                <w:szCs w:val="20"/>
              </w:rPr>
              <w:t>Marc</w:t>
            </w:r>
            <w:r w:rsidR="00FB0E2A">
              <w:rPr>
                <w:rFonts w:cstheme="minorHAnsi"/>
                <w:sz w:val="20"/>
                <w:szCs w:val="20"/>
              </w:rPr>
              <w:t xml:space="preserve">h in each year, commencing on </w:t>
            </w:r>
            <w:r>
              <w:rPr>
                <w:rFonts w:cstheme="minorHAnsi"/>
                <w:sz w:val="20"/>
                <w:szCs w:val="20"/>
              </w:rPr>
              <w:t>2</w:t>
            </w:r>
            <w:r w:rsidR="007E6E0F">
              <w:rPr>
                <w:rFonts w:cstheme="minorHAnsi"/>
                <w:sz w:val="20"/>
                <w:szCs w:val="20"/>
              </w:rPr>
              <w:t>6</w:t>
            </w:r>
            <w:r w:rsidR="00FB0E2A">
              <w:rPr>
                <w:rFonts w:cstheme="minorHAnsi"/>
                <w:sz w:val="20"/>
                <w:szCs w:val="20"/>
              </w:rPr>
              <w:t xml:space="preserve"> </w:t>
            </w:r>
            <w:r w:rsidR="00ED2B2E" w:rsidRPr="00ED2B2E">
              <w:rPr>
                <w:rFonts w:cstheme="minorHAnsi"/>
                <w:sz w:val="20"/>
                <w:szCs w:val="20"/>
              </w:rPr>
              <w:t>March 2024 up until the optional redemption date. Short first coupon</w:t>
            </w:r>
            <w:r>
              <w:rPr>
                <w:rFonts w:cstheme="minorHAnsi"/>
                <w:sz w:val="20"/>
                <w:szCs w:val="20"/>
              </w:rPr>
              <w:t>.</w:t>
            </w:r>
            <w:r w:rsidR="00E84A8E">
              <w:rPr>
                <w:rFonts w:cstheme="minorHAnsi"/>
                <w:sz w:val="20"/>
                <w:szCs w:val="20"/>
              </w:rPr>
              <w:t xml:space="preserve"> Thereafter quarterly on the </w:t>
            </w:r>
            <w:r w:rsidR="007E6E0F">
              <w:rPr>
                <w:rFonts w:cstheme="minorHAnsi"/>
                <w:sz w:val="20"/>
                <w:szCs w:val="20"/>
              </w:rPr>
              <w:t>26</w:t>
            </w:r>
            <w:r w:rsidR="007E6E0F" w:rsidRPr="007E6E0F">
              <w:rPr>
                <w:rFonts w:cstheme="minorHAnsi"/>
                <w:sz w:val="20"/>
                <w:szCs w:val="20"/>
                <w:vertAlign w:val="superscript"/>
              </w:rPr>
              <w:t>th</w:t>
            </w:r>
            <w:r w:rsidR="00ED2B2E" w:rsidRPr="00ED2B2E">
              <w:rPr>
                <w:rFonts w:cstheme="minorHAnsi"/>
                <w:sz w:val="20"/>
                <w:szCs w:val="20"/>
              </w:rPr>
              <w:t>, up to and including the Maturity Date</w:t>
            </w:r>
          </w:p>
        </w:tc>
      </w:tr>
      <w:tr w:rsidR="00ED2B2E" w:rsidTr="008640F2">
        <w:trPr>
          <w:trHeight w:val="269"/>
        </w:trPr>
        <w:tc>
          <w:tcPr>
            <w:tcW w:w="3114" w:type="dxa"/>
          </w:tcPr>
          <w:p w:rsidR="00ED2B2E" w:rsidRPr="00D909D2" w:rsidRDefault="00ED2B2E" w:rsidP="00ED2B2E">
            <w:pPr>
              <w:rPr>
                <w:rFonts w:cstheme="minorHAnsi"/>
                <w:sz w:val="20"/>
                <w:szCs w:val="20"/>
              </w:rPr>
            </w:pPr>
            <w:r w:rsidRPr="00D909D2">
              <w:rPr>
                <w:rFonts w:cstheme="minorHAnsi"/>
                <w:sz w:val="20"/>
                <w:szCs w:val="20"/>
              </w:rPr>
              <w:t>Business Day</w:t>
            </w:r>
          </w:p>
        </w:tc>
        <w:tc>
          <w:tcPr>
            <w:tcW w:w="6810" w:type="dxa"/>
          </w:tcPr>
          <w:p w:rsidR="00ED2B2E" w:rsidRPr="00D909D2" w:rsidRDefault="00ED2B2E" w:rsidP="00ED2B2E">
            <w:pPr>
              <w:jc w:val="both"/>
              <w:rPr>
                <w:rFonts w:cstheme="minorHAnsi"/>
                <w:sz w:val="20"/>
                <w:szCs w:val="20"/>
              </w:rPr>
            </w:pPr>
            <w:r w:rsidRPr="00D909D2">
              <w:rPr>
                <w:rFonts w:cstheme="minorHAnsi"/>
                <w:sz w:val="20"/>
                <w:szCs w:val="20"/>
              </w:rPr>
              <w:t>TARGET2 and London</w:t>
            </w:r>
          </w:p>
        </w:tc>
      </w:tr>
      <w:tr w:rsidR="00ED2B2E" w:rsidTr="008640F2">
        <w:trPr>
          <w:trHeight w:val="712"/>
        </w:trPr>
        <w:tc>
          <w:tcPr>
            <w:tcW w:w="3114" w:type="dxa"/>
          </w:tcPr>
          <w:p w:rsidR="00ED2B2E" w:rsidRPr="00D909D2" w:rsidRDefault="00ED2B2E" w:rsidP="00ED2B2E">
            <w:pPr>
              <w:rPr>
                <w:rFonts w:cstheme="minorHAnsi"/>
                <w:sz w:val="20"/>
                <w:szCs w:val="20"/>
              </w:rPr>
            </w:pPr>
            <w:r w:rsidRPr="00D909D2">
              <w:rPr>
                <w:rFonts w:cstheme="minorHAnsi"/>
                <w:sz w:val="20"/>
                <w:szCs w:val="20"/>
              </w:rPr>
              <w:t>Day Count Fraction and Business Day Convention for the Fixed Rate Interest Period</w:t>
            </w:r>
          </w:p>
        </w:tc>
        <w:tc>
          <w:tcPr>
            <w:tcW w:w="6810" w:type="dxa"/>
          </w:tcPr>
          <w:p w:rsidR="00ED2B2E" w:rsidRPr="00D909D2" w:rsidRDefault="00ED2B2E" w:rsidP="00ED2B2E">
            <w:pPr>
              <w:jc w:val="both"/>
              <w:rPr>
                <w:rFonts w:cstheme="minorHAnsi"/>
                <w:sz w:val="20"/>
                <w:szCs w:val="20"/>
              </w:rPr>
            </w:pPr>
            <w:r w:rsidRPr="00D909D2">
              <w:rPr>
                <w:rFonts w:cstheme="minorHAnsi"/>
                <w:sz w:val="20"/>
                <w:szCs w:val="20"/>
              </w:rPr>
              <w:t>Actual/Actual (ICMA), Following (unadjusted)</w:t>
            </w:r>
          </w:p>
        </w:tc>
      </w:tr>
      <w:tr w:rsidR="00ED2B2E" w:rsidTr="008640F2">
        <w:trPr>
          <w:trHeight w:val="822"/>
        </w:trPr>
        <w:tc>
          <w:tcPr>
            <w:tcW w:w="3114" w:type="dxa"/>
          </w:tcPr>
          <w:p w:rsidR="00ED2B2E" w:rsidRPr="00D909D2" w:rsidRDefault="00ED2B2E" w:rsidP="00ED2B2E">
            <w:pPr>
              <w:rPr>
                <w:rFonts w:cstheme="minorHAnsi"/>
                <w:sz w:val="20"/>
                <w:szCs w:val="20"/>
              </w:rPr>
            </w:pPr>
            <w:r w:rsidRPr="00D909D2">
              <w:rPr>
                <w:rFonts w:cstheme="minorHAnsi"/>
                <w:sz w:val="20"/>
                <w:szCs w:val="20"/>
              </w:rPr>
              <w:t>Day Count Fraction and Business Day Convention for the Floating Rate Interest Period</w:t>
            </w:r>
          </w:p>
        </w:tc>
        <w:tc>
          <w:tcPr>
            <w:tcW w:w="6810" w:type="dxa"/>
          </w:tcPr>
          <w:p w:rsidR="00ED2B2E" w:rsidRPr="00D909D2" w:rsidRDefault="00ED2B2E" w:rsidP="00ED2B2E">
            <w:pPr>
              <w:jc w:val="both"/>
              <w:rPr>
                <w:rFonts w:cstheme="minorHAnsi"/>
                <w:sz w:val="20"/>
                <w:szCs w:val="20"/>
              </w:rPr>
            </w:pPr>
            <w:r w:rsidRPr="00D909D2">
              <w:rPr>
                <w:rFonts w:cstheme="minorHAnsi"/>
                <w:sz w:val="20"/>
                <w:szCs w:val="20"/>
              </w:rPr>
              <w:t>Actual/360, Modified Following</w:t>
            </w:r>
          </w:p>
        </w:tc>
      </w:tr>
      <w:tr w:rsidR="00ED2B2E" w:rsidTr="002C6930">
        <w:trPr>
          <w:trHeight w:val="327"/>
        </w:trPr>
        <w:tc>
          <w:tcPr>
            <w:tcW w:w="3114" w:type="dxa"/>
          </w:tcPr>
          <w:p w:rsidR="00ED2B2E" w:rsidRPr="00D909D2" w:rsidRDefault="00ED2B2E" w:rsidP="00ED2B2E">
            <w:pPr>
              <w:rPr>
                <w:rFonts w:cstheme="minorHAnsi"/>
                <w:sz w:val="20"/>
                <w:szCs w:val="20"/>
              </w:rPr>
            </w:pPr>
            <w:r w:rsidRPr="00D909D2">
              <w:rPr>
                <w:rFonts w:cstheme="minorHAnsi"/>
                <w:sz w:val="20"/>
                <w:szCs w:val="20"/>
              </w:rPr>
              <w:t>Redemption</w:t>
            </w:r>
          </w:p>
        </w:tc>
        <w:tc>
          <w:tcPr>
            <w:tcW w:w="6810" w:type="dxa"/>
          </w:tcPr>
          <w:p w:rsidR="00ED2B2E" w:rsidRPr="00D909D2" w:rsidRDefault="00ED2B2E" w:rsidP="00ED2B2E">
            <w:pPr>
              <w:jc w:val="both"/>
              <w:rPr>
                <w:rFonts w:cstheme="minorHAnsi"/>
                <w:sz w:val="20"/>
                <w:szCs w:val="20"/>
              </w:rPr>
            </w:pPr>
            <w:r w:rsidRPr="00D909D2">
              <w:rPr>
                <w:rFonts w:cstheme="minorHAnsi"/>
                <w:sz w:val="20"/>
                <w:szCs w:val="20"/>
              </w:rPr>
              <w:t>100% of the Nominal Amount</w:t>
            </w:r>
          </w:p>
        </w:tc>
      </w:tr>
      <w:tr w:rsidR="00ED2B2E" w:rsidTr="008640F2">
        <w:trPr>
          <w:trHeight w:val="1273"/>
        </w:trPr>
        <w:tc>
          <w:tcPr>
            <w:tcW w:w="3114" w:type="dxa"/>
          </w:tcPr>
          <w:p w:rsidR="00ED2B2E" w:rsidRPr="00D909D2" w:rsidRDefault="00ED2B2E" w:rsidP="00ED2B2E">
            <w:pPr>
              <w:rPr>
                <w:rFonts w:cstheme="minorHAnsi"/>
                <w:sz w:val="20"/>
                <w:szCs w:val="20"/>
              </w:rPr>
            </w:pPr>
            <w:r w:rsidRPr="00D909D2">
              <w:rPr>
                <w:rFonts w:cstheme="minorHAnsi"/>
                <w:sz w:val="20"/>
                <w:szCs w:val="20"/>
              </w:rPr>
              <w:t>Redemption at the Option of the Issuer</w:t>
            </w:r>
          </w:p>
        </w:tc>
        <w:tc>
          <w:tcPr>
            <w:tcW w:w="6810" w:type="dxa"/>
          </w:tcPr>
          <w:p w:rsidR="00ED2B2E" w:rsidRPr="00D909D2" w:rsidRDefault="00ED2B2E" w:rsidP="00ED2B2E">
            <w:pPr>
              <w:jc w:val="both"/>
              <w:rPr>
                <w:rFonts w:cstheme="minorHAnsi"/>
                <w:sz w:val="20"/>
                <w:szCs w:val="20"/>
              </w:rPr>
            </w:pPr>
            <w:r w:rsidRPr="00D909D2">
              <w:rPr>
                <w:rFonts w:cstheme="minorHAnsi"/>
                <w:sz w:val="20"/>
                <w:szCs w:val="20"/>
              </w:rPr>
              <w:t>The Issuer may (subject to the provisions of Condition 10(o) (Regulatory conditions for call, redemption, repayment or repurchase of Senior Notes and Senior Non-Preferred Notes)), on the Optional Redemption Date (Call) redeem all (but not some only) of the Notes at the Optional Redemption Amount (Call) together with interest accrued to such date.</w:t>
            </w:r>
          </w:p>
        </w:tc>
      </w:tr>
      <w:tr w:rsidR="00ED2B2E" w:rsidTr="008640F2">
        <w:trPr>
          <w:trHeight w:val="719"/>
        </w:trPr>
        <w:tc>
          <w:tcPr>
            <w:tcW w:w="3114" w:type="dxa"/>
          </w:tcPr>
          <w:p w:rsidR="00ED2B2E" w:rsidRPr="00D909D2" w:rsidRDefault="00ED2B2E" w:rsidP="00ED2B2E">
            <w:pPr>
              <w:rPr>
                <w:rFonts w:cstheme="minorHAnsi"/>
                <w:sz w:val="20"/>
                <w:szCs w:val="20"/>
              </w:rPr>
            </w:pPr>
            <w:r w:rsidRPr="00D909D2">
              <w:rPr>
                <w:rFonts w:cstheme="minorHAnsi"/>
                <w:sz w:val="20"/>
                <w:szCs w:val="20"/>
              </w:rPr>
              <w:t>Issuer Call due to MREL Disqualification Event</w:t>
            </w:r>
          </w:p>
        </w:tc>
        <w:tc>
          <w:tcPr>
            <w:tcW w:w="6810" w:type="dxa"/>
          </w:tcPr>
          <w:p w:rsidR="00ED2B2E" w:rsidRPr="00D909D2" w:rsidRDefault="00ED2B2E" w:rsidP="00ED2B2E">
            <w:pPr>
              <w:jc w:val="both"/>
              <w:rPr>
                <w:rFonts w:cstheme="minorHAnsi"/>
                <w:sz w:val="20"/>
                <w:szCs w:val="20"/>
                <w:highlight w:val="yellow"/>
              </w:rPr>
            </w:pPr>
            <w:r w:rsidRPr="00D909D2">
              <w:rPr>
                <w:rFonts w:cstheme="minorHAnsi"/>
                <w:sz w:val="20"/>
                <w:szCs w:val="20"/>
              </w:rPr>
              <w:t>The Issuer may (subject to the provisions of Condition 10(o) (Regulatory conditions for call, redemption, repayment or repurchase of Senior Notes and Senior Non-Preferred Notes)), at any time (if the Note is not a Floating Rate Note or an Inflation-Linked Note) or on any Floating Interest Payment Date (if the Note is a Floating Rate Note or an Inflation-Linked Note) redeem all (but not some only) of the Notes at par together with interest accrued to the date fixed for redemption if the Issuer determines that an MREL Disqualification Event has occurred and is continuing</w:t>
            </w:r>
          </w:p>
        </w:tc>
      </w:tr>
      <w:tr w:rsidR="00ED2B2E" w:rsidTr="00D623BC">
        <w:trPr>
          <w:trHeight w:val="2010"/>
        </w:trPr>
        <w:tc>
          <w:tcPr>
            <w:tcW w:w="3114" w:type="dxa"/>
          </w:tcPr>
          <w:p w:rsidR="00ED2B2E" w:rsidRPr="00D909D2" w:rsidRDefault="00ED2B2E" w:rsidP="00ED2B2E">
            <w:pPr>
              <w:rPr>
                <w:rFonts w:cstheme="minorHAnsi"/>
                <w:sz w:val="20"/>
                <w:szCs w:val="20"/>
              </w:rPr>
            </w:pPr>
            <w:r w:rsidRPr="00D909D2">
              <w:rPr>
                <w:rFonts w:cstheme="minorHAnsi"/>
                <w:sz w:val="20"/>
                <w:szCs w:val="20"/>
              </w:rPr>
              <w:t>Redemption for Taxation Reasons</w:t>
            </w:r>
          </w:p>
        </w:tc>
        <w:tc>
          <w:tcPr>
            <w:tcW w:w="6810" w:type="dxa"/>
          </w:tcPr>
          <w:p w:rsidR="00ED2B2E" w:rsidRPr="00D909D2" w:rsidRDefault="00ED2B2E" w:rsidP="00ED2B2E">
            <w:pPr>
              <w:jc w:val="both"/>
              <w:rPr>
                <w:rFonts w:cstheme="minorHAnsi"/>
                <w:sz w:val="20"/>
                <w:szCs w:val="20"/>
                <w:highlight w:val="yellow"/>
              </w:rPr>
            </w:pPr>
            <w:r w:rsidRPr="00D909D2">
              <w:rPr>
                <w:rFonts w:cstheme="minorHAnsi"/>
                <w:sz w:val="20"/>
                <w:szCs w:val="20"/>
              </w:rPr>
              <w:t>The Issuer may redeem in whole, but not in part: (i) at any time (if neither the Floating Rate Note Provisions or the Inflation-Linked Note Provisions are specified in the relevant Final Terms as being applicable); or (ii) on any Interest Payment Date (if the Floating Rate Note Provisions or the Inflation-Linked Note Provisions are specified in the relevant Final Terms as being applicable), the Notes</w:t>
            </w:r>
            <w:r w:rsidRPr="00D909D2" w:rsidDel="00874092">
              <w:rPr>
                <w:rFonts w:cstheme="minorHAnsi"/>
                <w:sz w:val="20"/>
                <w:szCs w:val="20"/>
              </w:rPr>
              <w:t xml:space="preserve"> </w:t>
            </w:r>
            <w:r w:rsidRPr="00D909D2">
              <w:rPr>
                <w:rFonts w:cstheme="minorHAnsi"/>
                <w:sz w:val="20"/>
                <w:szCs w:val="20"/>
              </w:rPr>
              <w:t>at their Early Redemption Amount (Tax) together with interest accrued (if any) to the date fixed for redemption, if the Issuer has or will become obliged to pay additional amounts as provided or referred to in Condition 12 (Taxation)</w:t>
            </w:r>
          </w:p>
        </w:tc>
      </w:tr>
      <w:tr w:rsidR="00ED2B2E" w:rsidTr="008640F2">
        <w:trPr>
          <w:trHeight w:val="1454"/>
        </w:trPr>
        <w:tc>
          <w:tcPr>
            <w:tcW w:w="3114" w:type="dxa"/>
          </w:tcPr>
          <w:p w:rsidR="00ED2B2E" w:rsidRPr="00D909D2" w:rsidRDefault="00ED2B2E" w:rsidP="00ED2B2E">
            <w:pPr>
              <w:rPr>
                <w:rFonts w:cstheme="minorHAnsi"/>
                <w:sz w:val="20"/>
                <w:szCs w:val="20"/>
              </w:rPr>
            </w:pPr>
            <w:r w:rsidRPr="00D909D2">
              <w:rPr>
                <w:rFonts w:cstheme="minorHAnsi"/>
                <w:sz w:val="20"/>
                <w:szCs w:val="20"/>
              </w:rPr>
              <w:t xml:space="preserve">Clean-up Redemption Option </w:t>
            </w:r>
          </w:p>
        </w:tc>
        <w:tc>
          <w:tcPr>
            <w:tcW w:w="6810" w:type="dxa"/>
          </w:tcPr>
          <w:p w:rsidR="00ED2B2E" w:rsidRPr="00D909D2" w:rsidRDefault="00ED2B2E" w:rsidP="00ED2B2E">
            <w:pPr>
              <w:jc w:val="both"/>
              <w:rPr>
                <w:rFonts w:cstheme="minorHAnsi"/>
                <w:sz w:val="20"/>
                <w:szCs w:val="20"/>
              </w:rPr>
            </w:pPr>
            <w:r w:rsidRPr="00D909D2">
              <w:rPr>
                <w:rFonts w:cstheme="minorHAnsi"/>
                <w:sz w:val="20"/>
                <w:szCs w:val="20"/>
              </w:rPr>
              <w:t>If the Clean-Up Percentage of the initial aggregate nominal amount of the Notes of the same Series have been redeemed or purchased by, or on behalf of, the Issuer and cancelled, the Issuer may at any time, at its option (subject to the provisions of Condition 10(o) (Regulatory conditions for call, redemption, repayment or repurchase of Senior Notes and Senior Non-Preferred Notes), redeem such outstanding Notes, in whole but not in part, at their Clean-Up Redemption Amount together with interest accrued to but excluding the redemption date</w:t>
            </w:r>
          </w:p>
        </w:tc>
      </w:tr>
      <w:tr w:rsidR="00ED2B2E" w:rsidTr="008640F2">
        <w:trPr>
          <w:trHeight w:val="296"/>
        </w:trPr>
        <w:tc>
          <w:tcPr>
            <w:tcW w:w="3114" w:type="dxa"/>
          </w:tcPr>
          <w:p w:rsidR="00ED2B2E" w:rsidRPr="00D909D2" w:rsidRDefault="00ED2B2E" w:rsidP="00ED2B2E">
            <w:pPr>
              <w:rPr>
                <w:rFonts w:cstheme="minorHAnsi"/>
                <w:sz w:val="20"/>
                <w:szCs w:val="20"/>
              </w:rPr>
            </w:pPr>
            <w:r w:rsidRPr="00D909D2">
              <w:rPr>
                <w:rFonts w:cstheme="minorHAnsi"/>
                <w:sz w:val="20"/>
                <w:szCs w:val="20"/>
              </w:rPr>
              <w:t xml:space="preserve">Clean-Up Redemption Amount </w:t>
            </w:r>
          </w:p>
        </w:tc>
        <w:tc>
          <w:tcPr>
            <w:tcW w:w="6810" w:type="dxa"/>
          </w:tcPr>
          <w:p w:rsidR="00ED2B2E" w:rsidRPr="00D909D2" w:rsidRDefault="00ED2B2E" w:rsidP="00ED2B2E">
            <w:pPr>
              <w:jc w:val="both"/>
              <w:rPr>
                <w:rFonts w:cstheme="minorHAnsi"/>
                <w:sz w:val="20"/>
                <w:szCs w:val="20"/>
              </w:rPr>
            </w:pPr>
            <w:r w:rsidRPr="00D909D2">
              <w:rPr>
                <w:rFonts w:cstheme="minorHAnsi"/>
                <w:sz w:val="20"/>
                <w:szCs w:val="20"/>
              </w:rPr>
              <w:t>100%</w:t>
            </w:r>
          </w:p>
        </w:tc>
      </w:tr>
      <w:tr w:rsidR="00ED2B2E" w:rsidTr="008640F2">
        <w:trPr>
          <w:trHeight w:val="254"/>
        </w:trPr>
        <w:tc>
          <w:tcPr>
            <w:tcW w:w="3114" w:type="dxa"/>
          </w:tcPr>
          <w:p w:rsidR="00ED2B2E" w:rsidRPr="00D909D2" w:rsidRDefault="00ED2B2E" w:rsidP="00ED2B2E">
            <w:pPr>
              <w:rPr>
                <w:rFonts w:cstheme="minorHAnsi"/>
                <w:sz w:val="20"/>
                <w:szCs w:val="20"/>
              </w:rPr>
            </w:pPr>
            <w:r w:rsidRPr="00D909D2">
              <w:rPr>
                <w:rFonts w:cstheme="minorHAnsi"/>
                <w:sz w:val="20"/>
                <w:szCs w:val="20"/>
              </w:rPr>
              <w:t xml:space="preserve">Clean-up Percentage </w:t>
            </w:r>
          </w:p>
        </w:tc>
        <w:tc>
          <w:tcPr>
            <w:tcW w:w="6810" w:type="dxa"/>
          </w:tcPr>
          <w:p w:rsidR="00ED2B2E" w:rsidRPr="00D909D2" w:rsidRDefault="00ED2B2E" w:rsidP="00ED2B2E">
            <w:pPr>
              <w:jc w:val="both"/>
              <w:rPr>
                <w:rFonts w:cstheme="minorHAnsi"/>
                <w:sz w:val="20"/>
                <w:szCs w:val="20"/>
              </w:rPr>
            </w:pPr>
            <w:r w:rsidRPr="00D909D2">
              <w:rPr>
                <w:rFonts w:cstheme="minorHAnsi"/>
                <w:sz w:val="20"/>
                <w:szCs w:val="20"/>
              </w:rPr>
              <w:t>75%</w:t>
            </w:r>
          </w:p>
        </w:tc>
      </w:tr>
      <w:tr w:rsidR="00ED2B2E" w:rsidTr="00D623BC">
        <w:trPr>
          <w:trHeight w:val="1993"/>
        </w:trPr>
        <w:tc>
          <w:tcPr>
            <w:tcW w:w="3114" w:type="dxa"/>
          </w:tcPr>
          <w:p w:rsidR="00ED2B2E" w:rsidRPr="00D909D2" w:rsidRDefault="00ED2B2E" w:rsidP="00ED2B2E">
            <w:pPr>
              <w:rPr>
                <w:rFonts w:cstheme="minorHAnsi"/>
                <w:sz w:val="20"/>
                <w:szCs w:val="20"/>
              </w:rPr>
            </w:pPr>
            <w:r w:rsidRPr="00D909D2">
              <w:rPr>
                <w:rFonts w:cstheme="minorHAnsi"/>
                <w:sz w:val="20"/>
                <w:szCs w:val="20"/>
              </w:rPr>
              <w:t>Events of Default</w:t>
            </w:r>
          </w:p>
        </w:tc>
        <w:tc>
          <w:tcPr>
            <w:tcW w:w="6810" w:type="dxa"/>
          </w:tcPr>
          <w:p w:rsidR="00ED2B2E" w:rsidRPr="00D909D2" w:rsidRDefault="00ED2B2E" w:rsidP="00ED2B2E">
            <w:pPr>
              <w:jc w:val="both"/>
              <w:rPr>
                <w:rFonts w:cstheme="minorHAnsi"/>
                <w:sz w:val="20"/>
                <w:szCs w:val="20"/>
                <w:highlight w:val="yellow"/>
              </w:rPr>
            </w:pPr>
            <w:proofErr w:type="gramStart"/>
            <w:r w:rsidRPr="00D909D2">
              <w:rPr>
                <w:rFonts w:cstheme="minorHAnsi"/>
                <w:sz w:val="20"/>
                <w:szCs w:val="20"/>
              </w:rPr>
              <w:t>In the event of compulsory winding-up (</w:t>
            </w:r>
            <w:proofErr w:type="spellStart"/>
            <w:r w:rsidRPr="00D909D2">
              <w:rPr>
                <w:rFonts w:cstheme="minorHAnsi"/>
                <w:i/>
                <w:sz w:val="20"/>
                <w:szCs w:val="20"/>
              </w:rPr>
              <w:t>liquidazione</w:t>
            </w:r>
            <w:proofErr w:type="spellEnd"/>
            <w:r w:rsidRPr="00D909D2">
              <w:rPr>
                <w:rFonts w:cstheme="minorHAnsi"/>
                <w:i/>
                <w:sz w:val="20"/>
                <w:szCs w:val="20"/>
              </w:rPr>
              <w:t xml:space="preserve"> </w:t>
            </w:r>
            <w:proofErr w:type="spellStart"/>
            <w:r w:rsidRPr="00D909D2">
              <w:rPr>
                <w:rFonts w:cstheme="minorHAnsi"/>
                <w:i/>
                <w:sz w:val="20"/>
                <w:szCs w:val="20"/>
              </w:rPr>
              <w:t>coatta</w:t>
            </w:r>
            <w:proofErr w:type="spellEnd"/>
            <w:r w:rsidRPr="00D909D2">
              <w:rPr>
                <w:rFonts w:cstheme="minorHAnsi"/>
                <w:i/>
                <w:sz w:val="20"/>
                <w:szCs w:val="20"/>
              </w:rPr>
              <w:t xml:space="preserve"> </w:t>
            </w:r>
            <w:proofErr w:type="spellStart"/>
            <w:r w:rsidRPr="00D909D2">
              <w:rPr>
                <w:rFonts w:cstheme="minorHAnsi"/>
                <w:i/>
                <w:sz w:val="20"/>
                <w:szCs w:val="20"/>
              </w:rPr>
              <w:t>amministrativa</w:t>
            </w:r>
            <w:proofErr w:type="spellEnd"/>
            <w:r w:rsidRPr="00D909D2">
              <w:rPr>
                <w:rFonts w:cstheme="minorHAnsi"/>
                <w:sz w:val="20"/>
                <w:szCs w:val="20"/>
              </w:rPr>
              <w:t>) of any of the Issuer pursuant to Articles 80 and following of the Legislative Decree of 1 September 1993, No. 385 of the Republic of Italy as amended or replaced from time to time, then any Note may, by written notice addressed by the holder thereof to the Issuer and delivered to the Issuer or to the Specified Office of the Fiscal Agent, be declared immediately due and payable, whereupon it shall become immediately due and payable at its outstanding principal amount together with accrued interest (if any) without further action or formality.</w:t>
            </w:r>
            <w:proofErr w:type="gramEnd"/>
          </w:p>
        </w:tc>
      </w:tr>
      <w:tr w:rsidR="00ED2B2E" w:rsidTr="008640F2">
        <w:trPr>
          <w:trHeight w:val="986"/>
        </w:trPr>
        <w:tc>
          <w:tcPr>
            <w:tcW w:w="3114" w:type="dxa"/>
          </w:tcPr>
          <w:p w:rsidR="00ED2B2E" w:rsidRPr="00D909D2" w:rsidRDefault="00ED2B2E" w:rsidP="00ED2B2E">
            <w:pPr>
              <w:rPr>
                <w:rFonts w:cstheme="minorHAnsi"/>
                <w:sz w:val="20"/>
                <w:szCs w:val="20"/>
              </w:rPr>
            </w:pPr>
            <w:r w:rsidRPr="00D909D2">
              <w:rPr>
                <w:rFonts w:cstheme="minorHAnsi"/>
                <w:sz w:val="20"/>
                <w:szCs w:val="20"/>
              </w:rPr>
              <w:lastRenderedPageBreak/>
              <w:t>Waiver of Set-off</w:t>
            </w:r>
          </w:p>
        </w:tc>
        <w:tc>
          <w:tcPr>
            <w:tcW w:w="6810" w:type="dxa"/>
          </w:tcPr>
          <w:p w:rsidR="00ED2B2E" w:rsidRPr="00D909D2" w:rsidRDefault="00ED2B2E" w:rsidP="00ED2B2E">
            <w:pPr>
              <w:jc w:val="both"/>
              <w:rPr>
                <w:rFonts w:cstheme="minorHAnsi"/>
                <w:sz w:val="20"/>
                <w:szCs w:val="20"/>
                <w:highlight w:val="yellow"/>
              </w:rPr>
            </w:pPr>
            <w:r w:rsidRPr="00D909D2">
              <w:rPr>
                <w:rFonts w:cstheme="minorHAnsi"/>
                <w:sz w:val="20"/>
                <w:szCs w:val="20"/>
              </w:rPr>
              <w:t>Each holder of the Notes unconditionally and irrevocably waives any right of set-off, netting, counterclaim, abatement or other similar remedy which it might otherwise have under the laws of any jurisdi</w:t>
            </w:r>
            <w:r>
              <w:rPr>
                <w:rFonts w:cstheme="minorHAnsi"/>
                <w:sz w:val="20"/>
                <w:szCs w:val="20"/>
              </w:rPr>
              <w:t>ction in respect of such Senior P</w:t>
            </w:r>
            <w:r w:rsidRPr="00D909D2">
              <w:rPr>
                <w:rFonts w:cstheme="minorHAnsi"/>
                <w:sz w:val="20"/>
                <w:szCs w:val="20"/>
              </w:rPr>
              <w:t>referred Note</w:t>
            </w:r>
          </w:p>
        </w:tc>
      </w:tr>
      <w:tr w:rsidR="00ED2B2E" w:rsidTr="008640F2">
        <w:trPr>
          <w:trHeight w:val="3268"/>
        </w:trPr>
        <w:tc>
          <w:tcPr>
            <w:tcW w:w="3114" w:type="dxa"/>
          </w:tcPr>
          <w:p w:rsidR="00ED2B2E" w:rsidRPr="00D909D2" w:rsidRDefault="00ED2B2E" w:rsidP="00ED2B2E">
            <w:pPr>
              <w:rPr>
                <w:rFonts w:cstheme="minorHAnsi"/>
                <w:sz w:val="20"/>
                <w:szCs w:val="20"/>
              </w:rPr>
            </w:pPr>
            <w:r w:rsidRPr="00D909D2">
              <w:rPr>
                <w:rFonts w:cstheme="minorHAnsi"/>
                <w:sz w:val="20"/>
                <w:szCs w:val="20"/>
              </w:rPr>
              <w:t>Variation</w:t>
            </w:r>
          </w:p>
        </w:tc>
        <w:tc>
          <w:tcPr>
            <w:tcW w:w="6810" w:type="dxa"/>
          </w:tcPr>
          <w:p w:rsidR="00ED2B2E" w:rsidRPr="00D909D2" w:rsidRDefault="00ED2B2E" w:rsidP="00ED2B2E">
            <w:pPr>
              <w:jc w:val="both"/>
              <w:rPr>
                <w:rFonts w:cstheme="minorHAnsi"/>
                <w:sz w:val="20"/>
                <w:szCs w:val="20"/>
                <w:highlight w:val="yellow"/>
              </w:rPr>
            </w:pPr>
            <w:proofErr w:type="gramStart"/>
            <w:r w:rsidRPr="00D909D2">
              <w:rPr>
                <w:rFonts w:cstheme="minorHAnsi"/>
                <w:sz w:val="20"/>
                <w:szCs w:val="20"/>
              </w:rPr>
              <w:t>Upon (i) a MREL Disqualification Event, and/or (ii) in order to ensure the effectiveness and enforceability of Condition 23 (Acknowledgment of Bail-in Power) of the Terms and Conditions, Issuer may, subject to giving any notice required to be given to, and receiving consent from, the Relevant Authority (without any requirement for the consent or approval of the holders of the Notes of that Series) and having given not less than 30 (thirty) nor more than 60 (sixty) days' notice to the Fiscal Agent and the Holders of the Notes of that Series, which notice shall be irrevocable, at any time vary the terms of such Notes so that they remain or, as approp</w:t>
            </w:r>
            <w:r>
              <w:rPr>
                <w:rFonts w:cstheme="minorHAnsi"/>
                <w:sz w:val="20"/>
                <w:szCs w:val="20"/>
              </w:rPr>
              <w:t xml:space="preserve">riate, become Qualifying Senior </w:t>
            </w:r>
            <w:r w:rsidRPr="00D909D2">
              <w:rPr>
                <w:rFonts w:cstheme="minorHAnsi"/>
                <w:sz w:val="20"/>
                <w:szCs w:val="20"/>
              </w:rPr>
              <w:t>Preferred Notes, provided that such variation does not itself give rise to any right of the Issuer to redeem the varied securities.</w:t>
            </w:r>
            <w:proofErr w:type="gramEnd"/>
            <w:r w:rsidRPr="00D909D2">
              <w:rPr>
                <w:rFonts w:cstheme="minorHAnsi"/>
                <w:sz w:val="20"/>
                <w:szCs w:val="20"/>
              </w:rPr>
              <w:t xml:space="preserve"> No consent of the Noteholders shall be required for a variation of the Notes in accordance with Condition 17(d) of the in the Terms and Conditions</w:t>
            </w:r>
          </w:p>
        </w:tc>
      </w:tr>
      <w:tr w:rsidR="00ED2B2E" w:rsidTr="008640F2">
        <w:trPr>
          <w:trHeight w:val="702"/>
        </w:trPr>
        <w:tc>
          <w:tcPr>
            <w:tcW w:w="3114" w:type="dxa"/>
          </w:tcPr>
          <w:p w:rsidR="00ED2B2E" w:rsidRPr="00D909D2" w:rsidRDefault="00ED2B2E" w:rsidP="00ED2B2E">
            <w:pPr>
              <w:rPr>
                <w:rFonts w:cstheme="minorHAnsi"/>
                <w:sz w:val="20"/>
                <w:szCs w:val="20"/>
              </w:rPr>
            </w:pPr>
            <w:r w:rsidRPr="00D909D2">
              <w:rPr>
                <w:rFonts w:cstheme="minorHAnsi"/>
                <w:sz w:val="20"/>
                <w:szCs w:val="20"/>
              </w:rPr>
              <w:t>Contractual recognition of statutory bail-in power</w:t>
            </w:r>
          </w:p>
        </w:tc>
        <w:tc>
          <w:tcPr>
            <w:tcW w:w="6810" w:type="dxa"/>
          </w:tcPr>
          <w:p w:rsidR="00ED2B2E" w:rsidRPr="00D909D2" w:rsidRDefault="00ED2B2E" w:rsidP="00ED2B2E">
            <w:pPr>
              <w:jc w:val="both"/>
              <w:rPr>
                <w:rFonts w:cstheme="minorHAnsi"/>
                <w:sz w:val="20"/>
                <w:szCs w:val="20"/>
                <w:highlight w:val="yellow"/>
              </w:rPr>
            </w:pPr>
            <w:r w:rsidRPr="00D909D2">
              <w:rPr>
                <w:rFonts w:cstheme="minorHAnsi"/>
                <w:sz w:val="20"/>
                <w:szCs w:val="20"/>
              </w:rPr>
              <w:t>Each Noteholder acknowledges and agrees to be bound by the exercise of any Bail-in Power by the Relevant Resolution Authority</w:t>
            </w:r>
          </w:p>
        </w:tc>
      </w:tr>
      <w:tr w:rsidR="00ED2B2E" w:rsidTr="00C25609">
        <w:trPr>
          <w:trHeight w:val="267"/>
        </w:trPr>
        <w:tc>
          <w:tcPr>
            <w:tcW w:w="3114" w:type="dxa"/>
          </w:tcPr>
          <w:p w:rsidR="00ED2B2E" w:rsidRPr="00D909D2" w:rsidRDefault="00ED2B2E" w:rsidP="00ED2B2E">
            <w:pPr>
              <w:rPr>
                <w:rFonts w:cstheme="minorHAnsi"/>
                <w:sz w:val="20"/>
                <w:szCs w:val="20"/>
              </w:rPr>
            </w:pPr>
            <w:r w:rsidRPr="00D909D2">
              <w:rPr>
                <w:rFonts w:cstheme="minorHAnsi"/>
                <w:sz w:val="20"/>
                <w:szCs w:val="20"/>
              </w:rPr>
              <w:t>Denominations</w:t>
            </w:r>
          </w:p>
        </w:tc>
        <w:tc>
          <w:tcPr>
            <w:tcW w:w="6810" w:type="dxa"/>
          </w:tcPr>
          <w:p w:rsidR="00ED2B2E" w:rsidRPr="00D909D2" w:rsidRDefault="00ED2B2E" w:rsidP="00ED2B2E">
            <w:pPr>
              <w:jc w:val="both"/>
              <w:rPr>
                <w:rFonts w:cstheme="minorHAnsi"/>
                <w:sz w:val="20"/>
                <w:szCs w:val="20"/>
              </w:rPr>
            </w:pPr>
            <w:r w:rsidRPr="00D909D2">
              <w:rPr>
                <w:rFonts w:cstheme="minorHAnsi"/>
                <w:sz w:val="20"/>
                <w:szCs w:val="20"/>
              </w:rPr>
              <w:t>EUR 1</w:t>
            </w:r>
            <w:r>
              <w:rPr>
                <w:rFonts w:cstheme="minorHAnsi"/>
                <w:sz w:val="20"/>
                <w:szCs w:val="20"/>
              </w:rPr>
              <w:t>0</w:t>
            </w:r>
            <w:r w:rsidRPr="00D909D2">
              <w:rPr>
                <w:rFonts w:cstheme="minorHAnsi"/>
                <w:sz w:val="20"/>
                <w:szCs w:val="20"/>
              </w:rPr>
              <w:t>0,000 with increments of EUR 1,0</w:t>
            </w:r>
            <w:r>
              <w:rPr>
                <w:rFonts w:cstheme="minorHAnsi"/>
                <w:sz w:val="20"/>
                <w:szCs w:val="20"/>
              </w:rPr>
              <w:t>00 in excess thereof up to EUR 1</w:t>
            </w:r>
            <w:r w:rsidRPr="00D909D2">
              <w:rPr>
                <w:rFonts w:cstheme="minorHAnsi"/>
                <w:sz w:val="20"/>
                <w:szCs w:val="20"/>
              </w:rPr>
              <w:t>99,000</w:t>
            </w:r>
          </w:p>
        </w:tc>
      </w:tr>
      <w:tr w:rsidR="00ED2B2E" w:rsidTr="00C25609">
        <w:trPr>
          <w:trHeight w:val="554"/>
        </w:trPr>
        <w:tc>
          <w:tcPr>
            <w:tcW w:w="3114" w:type="dxa"/>
          </w:tcPr>
          <w:p w:rsidR="00ED2B2E" w:rsidRPr="00D909D2" w:rsidRDefault="00ED2B2E" w:rsidP="00ED2B2E">
            <w:pPr>
              <w:rPr>
                <w:rFonts w:cstheme="minorHAnsi"/>
                <w:sz w:val="20"/>
                <w:szCs w:val="20"/>
              </w:rPr>
            </w:pPr>
            <w:r w:rsidRPr="00D909D2">
              <w:rPr>
                <w:rFonts w:cstheme="minorHAnsi"/>
                <w:sz w:val="20"/>
                <w:szCs w:val="20"/>
              </w:rPr>
              <w:t>Documentation</w:t>
            </w:r>
          </w:p>
        </w:tc>
        <w:tc>
          <w:tcPr>
            <w:tcW w:w="6810" w:type="dxa"/>
          </w:tcPr>
          <w:p w:rsidR="00ED2B2E" w:rsidRPr="00D909D2" w:rsidRDefault="00ED2B2E" w:rsidP="00ED2B2E">
            <w:pPr>
              <w:jc w:val="both"/>
              <w:rPr>
                <w:rFonts w:cstheme="minorHAnsi"/>
                <w:sz w:val="20"/>
                <w:szCs w:val="20"/>
              </w:rPr>
            </w:pPr>
            <w:r w:rsidRPr="00D909D2">
              <w:rPr>
                <w:rFonts w:cstheme="minorHAnsi"/>
                <w:sz w:val="20"/>
                <w:szCs w:val="20"/>
              </w:rPr>
              <w:t>Euro 5 billion Euro Medium Term Note Programme dated 10 March 2023 and supplement</w:t>
            </w:r>
            <w:r w:rsidR="007E6E0F">
              <w:rPr>
                <w:rFonts w:cstheme="minorHAnsi"/>
                <w:sz w:val="20"/>
                <w:szCs w:val="20"/>
              </w:rPr>
              <w:t>s</w:t>
            </w:r>
            <w:r w:rsidRPr="00D909D2">
              <w:rPr>
                <w:rFonts w:cstheme="minorHAnsi"/>
                <w:sz w:val="20"/>
                <w:szCs w:val="20"/>
              </w:rPr>
              <w:t xml:space="preserve"> dated 22 May 2023 and</w:t>
            </w:r>
            <w:r w:rsidR="007E6E0F">
              <w:rPr>
                <w:rFonts w:cstheme="minorHAnsi"/>
                <w:sz w:val="20"/>
                <w:szCs w:val="20"/>
              </w:rPr>
              <w:t xml:space="preserve"> 13</w:t>
            </w:r>
            <w:r>
              <w:rPr>
                <w:rFonts w:cstheme="minorHAnsi"/>
                <w:sz w:val="20"/>
                <w:szCs w:val="20"/>
              </w:rPr>
              <w:t xml:space="preserve"> September 2023</w:t>
            </w:r>
          </w:p>
        </w:tc>
      </w:tr>
      <w:tr w:rsidR="00ED2B2E" w:rsidTr="008640F2">
        <w:trPr>
          <w:trHeight w:val="1332"/>
        </w:trPr>
        <w:tc>
          <w:tcPr>
            <w:tcW w:w="3114" w:type="dxa"/>
          </w:tcPr>
          <w:p w:rsidR="00ED2B2E" w:rsidRPr="00D909D2" w:rsidRDefault="00ED2B2E" w:rsidP="00ED2B2E">
            <w:pPr>
              <w:rPr>
                <w:rFonts w:cstheme="minorHAnsi"/>
                <w:sz w:val="20"/>
                <w:szCs w:val="20"/>
              </w:rPr>
            </w:pPr>
            <w:r w:rsidRPr="00D909D2">
              <w:rPr>
                <w:rFonts w:cstheme="minorHAnsi"/>
                <w:sz w:val="20"/>
                <w:szCs w:val="20"/>
              </w:rPr>
              <w:t>Selling Restrictions</w:t>
            </w:r>
          </w:p>
        </w:tc>
        <w:tc>
          <w:tcPr>
            <w:tcW w:w="6810" w:type="dxa"/>
          </w:tcPr>
          <w:p w:rsidR="00ED2B2E" w:rsidRPr="00D909D2" w:rsidRDefault="00ED2B2E" w:rsidP="00ED2B2E">
            <w:pPr>
              <w:jc w:val="both"/>
              <w:rPr>
                <w:rFonts w:cstheme="minorHAnsi"/>
                <w:sz w:val="20"/>
                <w:szCs w:val="20"/>
              </w:rPr>
            </w:pPr>
            <w:r w:rsidRPr="00D909D2">
              <w:rPr>
                <w:rFonts w:cstheme="minorHAnsi"/>
                <w:sz w:val="20"/>
                <w:szCs w:val="20"/>
              </w:rPr>
              <w:t>As per the Base Prospectus dated 10 March 2023 (the “Base Prospectus”), there are restrictions on the offer, sale and transfer of the Notes in the United States, the United Kingdom, the European Economic Area (including the Republic of Italy and France) and Japan and such other restrictions as may be required in connection with the offering and sale of the Notes</w:t>
            </w:r>
          </w:p>
        </w:tc>
      </w:tr>
      <w:tr w:rsidR="00ED2B2E" w:rsidTr="00D623BC">
        <w:trPr>
          <w:trHeight w:val="1064"/>
        </w:trPr>
        <w:tc>
          <w:tcPr>
            <w:tcW w:w="3114" w:type="dxa"/>
          </w:tcPr>
          <w:p w:rsidR="00ED2B2E" w:rsidRPr="00D909D2" w:rsidRDefault="00ED2B2E" w:rsidP="00ED2B2E">
            <w:pPr>
              <w:rPr>
                <w:rFonts w:cstheme="minorHAnsi"/>
                <w:sz w:val="20"/>
                <w:szCs w:val="20"/>
              </w:rPr>
            </w:pPr>
            <w:r w:rsidRPr="00D909D2">
              <w:rPr>
                <w:rFonts w:cstheme="minorHAnsi"/>
                <w:sz w:val="20"/>
                <w:szCs w:val="20"/>
              </w:rPr>
              <w:t>Target Market</w:t>
            </w:r>
          </w:p>
        </w:tc>
        <w:tc>
          <w:tcPr>
            <w:tcW w:w="6810" w:type="dxa"/>
          </w:tcPr>
          <w:p w:rsidR="00ED2B2E" w:rsidRPr="00D909D2" w:rsidRDefault="00ED2B2E" w:rsidP="00ED2B2E">
            <w:pPr>
              <w:jc w:val="both"/>
              <w:rPr>
                <w:rFonts w:cstheme="minorHAnsi"/>
                <w:sz w:val="20"/>
                <w:szCs w:val="20"/>
              </w:rPr>
            </w:pPr>
            <w:r w:rsidRPr="00D909D2">
              <w:rPr>
                <w:rFonts w:cstheme="minorHAnsi"/>
                <w:sz w:val="20"/>
                <w:szCs w:val="20"/>
              </w:rPr>
              <w:t xml:space="preserve">Manufacturer target market (MIFID II product governance and UK </w:t>
            </w:r>
            <w:proofErr w:type="spellStart"/>
            <w:r w:rsidRPr="00D909D2">
              <w:rPr>
                <w:rFonts w:cstheme="minorHAnsi"/>
                <w:sz w:val="20"/>
                <w:szCs w:val="20"/>
              </w:rPr>
              <w:t>MiFIR</w:t>
            </w:r>
            <w:proofErr w:type="spellEnd"/>
            <w:r w:rsidRPr="00D909D2">
              <w:rPr>
                <w:rFonts w:cstheme="minorHAnsi"/>
                <w:sz w:val="20"/>
                <w:szCs w:val="20"/>
              </w:rPr>
              <w:t xml:space="preserve"> product governance) is eligible counterparties and professional investors only (all distribution channels). No EU or UK PRIIPs Key Information Document (KID) has been prepared </w:t>
            </w:r>
            <w:proofErr w:type="gramStart"/>
            <w:r w:rsidRPr="00D909D2">
              <w:rPr>
                <w:rFonts w:cstheme="minorHAnsi"/>
                <w:sz w:val="20"/>
                <w:szCs w:val="20"/>
              </w:rPr>
              <w:t>as not available</w:t>
            </w:r>
            <w:proofErr w:type="gramEnd"/>
            <w:r w:rsidRPr="00D909D2">
              <w:rPr>
                <w:rFonts w:cstheme="minorHAnsi"/>
                <w:sz w:val="20"/>
                <w:szCs w:val="20"/>
              </w:rPr>
              <w:t xml:space="preserve"> to retail in the EEA or in the UK.</w:t>
            </w:r>
          </w:p>
        </w:tc>
      </w:tr>
      <w:tr w:rsidR="00ED2B2E" w:rsidTr="00C25609">
        <w:trPr>
          <w:trHeight w:val="217"/>
        </w:trPr>
        <w:tc>
          <w:tcPr>
            <w:tcW w:w="3114" w:type="dxa"/>
          </w:tcPr>
          <w:p w:rsidR="00ED2B2E" w:rsidRPr="00D909D2" w:rsidRDefault="00ED2B2E" w:rsidP="00ED2B2E">
            <w:pPr>
              <w:rPr>
                <w:rFonts w:cstheme="minorHAnsi"/>
                <w:sz w:val="20"/>
                <w:szCs w:val="20"/>
              </w:rPr>
            </w:pPr>
            <w:r w:rsidRPr="00D909D2">
              <w:rPr>
                <w:rFonts w:cstheme="minorHAnsi"/>
                <w:sz w:val="20"/>
                <w:szCs w:val="20"/>
              </w:rPr>
              <w:t xml:space="preserve">Listing </w:t>
            </w:r>
          </w:p>
        </w:tc>
        <w:tc>
          <w:tcPr>
            <w:tcW w:w="6810" w:type="dxa"/>
          </w:tcPr>
          <w:p w:rsidR="00ED2B2E" w:rsidRPr="00D909D2" w:rsidRDefault="00ED2B2E" w:rsidP="00ED2B2E">
            <w:pPr>
              <w:jc w:val="both"/>
              <w:rPr>
                <w:rFonts w:cstheme="minorHAnsi"/>
                <w:sz w:val="20"/>
                <w:szCs w:val="20"/>
              </w:rPr>
            </w:pPr>
            <w:r>
              <w:rPr>
                <w:rFonts w:cstheme="minorHAnsi"/>
                <w:sz w:val="20"/>
                <w:szCs w:val="20"/>
              </w:rPr>
              <w:t>Regulated M</w:t>
            </w:r>
            <w:r w:rsidRPr="00D909D2">
              <w:rPr>
                <w:rFonts w:cstheme="minorHAnsi"/>
                <w:sz w:val="20"/>
                <w:szCs w:val="20"/>
              </w:rPr>
              <w:t>arket of Euronext Dublin</w:t>
            </w:r>
          </w:p>
        </w:tc>
      </w:tr>
      <w:tr w:rsidR="00ED2B2E" w:rsidTr="008640F2">
        <w:trPr>
          <w:trHeight w:val="213"/>
        </w:trPr>
        <w:tc>
          <w:tcPr>
            <w:tcW w:w="3114" w:type="dxa"/>
          </w:tcPr>
          <w:p w:rsidR="00ED2B2E" w:rsidRPr="00D909D2" w:rsidRDefault="00ED2B2E" w:rsidP="00ED2B2E">
            <w:pPr>
              <w:rPr>
                <w:rFonts w:cstheme="minorHAnsi"/>
                <w:sz w:val="20"/>
                <w:szCs w:val="20"/>
              </w:rPr>
            </w:pPr>
            <w:r w:rsidRPr="00D909D2">
              <w:rPr>
                <w:rFonts w:cstheme="minorHAnsi"/>
                <w:sz w:val="20"/>
                <w:szCs w:val="20"/>
              </w:rPr>
              <w:t>Clearing Systems</w:t>
            </w:r>
          </w:p>
        </w:tc>
        <w:tc>
          <w:tcPr>
            <w:tcW w:w="6810" w:type="dxa"/>
          </w:tcPr>
          <w:p w:rsidR="00ED2B2E" w:rsidRPr="00D909D2" w:rsidRDefault="00ED2B2E" w:rsidP="00ED2B2E">
            <w:pPr>
              <w:jc w:val="both"/>
              <w:rPr>
                <w:rFonts w:cstheme="minorHAnsi"/>
                <w:sz w:val="20"/>
                <w:szCs w:val="20"/>
              </w:rPr>
            </w:pPr>
            <w:proofErr w:type="spellStart"/>
            <w:r w:rsidRPr="00D909D2">
              <w:rPr>
                <w:rFonts w:cstheme="minorHAnsi"/>
                <w:sz w:val="20"/>
                <w:szCs w:val="20"/>
              </w:rPr>
              <w:t>Clearstream</w:t>
            </w:r>
            <w:proofErr w:type="spellEnd"/>
            <w:r w:rsidRPr="00D909D2">
              <w:rPr>
                <w:rFonts w:cstheme="minorHAnsi"/>
                <w:sz w:val="20"/>
                <w:szCs w:val="20"/>
              </w:rPr>
              <w:t xml:space="preserve"> and </w:t>
            </w:r>
            <w:proofErr w:type="spellStart"/>
            <w:r w:rsidRPr="00D909D2">
              <w:rPr>
                <w:rFonts w:cstheme="minorHAnsi"/>
                <w:sz w:val="20"/>
                <w:szCs w:val="20"/>
              </w:rPr>
              <w:t>Euroclear</w:t>
            </w:r>
            <w:proofErr w:type="spellEnd"/>
          </w:p>
        </w:tc>
      </w:tr>
      <w:tr w:rsidR="00ED2B2E" w:rsidTr="008640F2">
        <w:trPr>
          <w:trHeight w:val="254"/>
        </w:trPr>
        <w:tc>
          <w:tcPr>
            <w:tcW w:w="3114" w:type="dxa"/>
          </w:tcPr>
          <w:p w:rsidR="00ED2B2E" w:rsidRPr="00D909D2" w:rsidRDefault="00ED2B2E" w:rsidP="00ED2B2E">
            <w:pPr>
              <w:jc w:val="both"/>
              <w:rPr>
                <w:rFonts w:cstheme="minorHAnsi"/>
                <w:sz w:val="20"/>
                <w:szCs w:val="20"/>
              </w:rPr>
            </w:pPr>
            <w:r w:rsidRPr="00D909D2">
              <w:rPr>
                <w:rFonts w:cstheme="minorHAnsi"/>
                <w:sz w:val="20"/>
                <w:szCs w:val="20"/>
              </w:rPr>
              <w:t>ISIN Code</w:t>
            </w:r>
          </w:p>
        </w:tc>
        <w:tc>
          <w:tcPr>
            <w:tcW w:w="6810" w:type="dxa"/>
          </w:tcPr>
          <w:p w:rsidR="00ED2B2E" w:rsidRPr="002C6930" w:rsidRDefault="001B5C4C" w:rsidP="00ED2B2E">
            <w:pPr>
              <w:jc w:val="both"/>
              <w:rPr>
                <w:rFonts w:cstheme="minorHAnsi"/>
                <w:sz w:val="20"/>
                <w:szCs w:val="20"/>
              </w:rPr>
            </w:pPr>
            <w:r w:rsidRPr="002C6930">
              <w:rPr>
                <w:rFonts w:cstheme="minorHAnsi"/>
                <w:sz w:val="20"/>
                <w:szCs w:val="20"/>
              </w:rPr>
              <w:t>XS2684860203</w:t>
            </w:r>
          </w:p>
        </w:tc>
      </w:tr>
      <w:tr w:rsidR="00ED2B2E" w:rsidTr="008640F2">
        <w:trPr>
          <w:trHeight w:val="254"/>
        </w:trPr>
        <w:tc>
          <w:tcPr>
            <w:tcW w:w="3114" w:type="dxa"/>
          </w:tcPr>
          <w:p w:rsidR="00ED2B2E" w:rsidRPr="00D909D2" w:rsidRDefault="00ED2B2E" w:rsidP="00ED2B2E">
            <w:pPr>
              <w:jc w:val="both"/>
              <w:rPr>
                <w:rFonts w:cstheme="minorHAnsi"/>
                <w:sz w:val="20"/>
                <w:szCs w:val="20"/>
              </w:rPr>
            </w:pPr>
            <w:r w:rsidRPr="00D909D2">
              <w:rPr>
                <w:rFonts w:cstheme="minorHAnsi"/>
                <w:sz w:val="20"/>
                <w:szCs w:val="20"/>
              </w:rPr>
              <w:t>Common Code</w:t>
            </w:r>
          </w:p>
        </w:tc>
        <w:tc>
          <w:tcPr>
            <w:tcW w:w="6810" w:type="dxa"/>
          </w:tcPr>
          <w:p w:rsidR="00ED2B2E" w:rsidRPr="002C6930" w:rsidRDefault="001B5C4C" w:rsidP="00ED2B2E">
            <w:pPr>
              <w:jc w:val="both"/>
              <w:rPr>
                <w:rFonts w:cstheme="minorHAnsi"/>
                <w:sz w:val="20"/>
                <w:szCs w:val="20"/>
              </w:rPr>
            </w:pPr>
            <w:r w:rsidRPr="002C6930">
              <w:rPr>
                <w:rFonts w:cstheme="minorHAnsi"/>
                <w:sz w:val="20"/>
                <w:szCs w:val="20"/>
              </w:rPr>
              <w:t>268486020</w:t>
            </w:r>
          </w:p>
        </w:tc>
      </w:tr>
      <w:tr w:rsidR="00ED2B2E" w:rsidTr="008640F2">
        <w:trPr>
          <w:trHeight w:val="254"/>
        </w:trPr>
        <w:tc>
          <w:tcPr>
            <w:tcW w:w="3114" w:type="dxa"/>
          </w:tcPr>
          <w:p w:rsidR="00ED2B2E" w:rsidRPr="00D909D2" w:rsidRDefault="00ED2B2E" w:rsidP="00ED2B2E">
            <w:pPr>
              <w:jc w:val="both"/>
              <w:rPr>
                <w:rFonts w:cstheme="minorHAnsi"/>
                <w:sz w:val="20"/>
                <w:szCs w:val="20"/>
              </w:rPr>
            </w:pPr>
            <w:r w:rsidRPr="00D909D2">
              <w:rPr>
                <w:rFonts w:cstheme="minorHAnsi"/>
                <w:sz w:val="20"/>
                <w:szCs w:val="20"/>
              </w:rPr>
              <w:t>Governing Law</w:t>
            </w:r>
          </w:p>
        </w:tc>
        <w:tc>
          <w:tcPr>
            <w:tcW w:w="6810" w:type="dxa"/>
          </w:tcPr>
          <w:p w:rsidR="00ED2B2E" w:rsidRPr="00D909D2" w:rsidRDefault="00ED2B2E" w:rsidP="00ED2B2E">
            <w:pPr>
              <w:jc w:val="both"/>
              <w:rPr>
                <w:rFonts w:cstheme="minorHAnsi"/>
                <w:sz w:val="20"/>
                <w:szCs w:val="20"/>
              </w:rPr>
            </w:pPr>
            <w:r w:rsidRPr="00D909D2">
              <w:rPr>
                <w:rFonts w:cstheme="minorHAnsi"/>
                <w:sz w:val="20"/>
                <w:szCs w:val="20"/>
              </w:rPr>
              <w:t>Italian Law</w:t>
            </w:r>
          </w:p>
        </w:tc>
      </w:tr>
      <w:tr w:rsidR="00ED2B2E" w:rsidTr="00D87658">
        <w:trPr>
          <w:trHeight w:val="1235"/>
        </w:trPr>
        <w:tc>
          <w:tcPr>
            <w:tcW w:w="3114" w:type="dxa"/>
          </w:tcPr>
          <w:p w:rsidR="00ED2B2E" w:rsidRPr="00D909D2" w:rsidRDefault="00ED2B2E" w:rsidP="00ED2B2E">
            <w:pPr>
              <w:jc w:val="both"/>
              <w:rPr>
                <w:rFonts w:cstheme="minorHAnsi"/>
                <w:sz w:val="20"/>
                <w:szCs w:val="20"/>
              </w:rPr>
            </w:pPr>
            <w:r w:rsidRPr="00D909D2">
              <w:rPr>
                <w:rFonts w:cstheme="minorHAnsi"/>
                <w:sz w:val="20"/>
                <w:szCs w:val="20"/>
              </w:rPr>
              <w:t>Advertisement</w:t>
            </w:r>
          </w:p>
        </w:tc>
        <w:tc>
          <w:tcPr>
            <w:tcW w:w="6810" w:type="dxa"/>
          </w:tcPr>
          <w:p w:rsidR="00D623BC" w:rsidRPr="00D623BC" w:rsidRDefault="00ED2B2E" w:rsidP="00D87658">
            <w:pPr>
              <w:pStyle w:val="CommentText"/>
              <w:rPr>
                <w:rFonts w:cstheme="minorHAnsi"/>
              </w:rPr>
            </w:pPr>
            <w:r w:rsidRPr="00D909D2">
              <w:rPr>
                <w:rFonts w:cstheme="minorHAnsi"/>
              </w:rPr>
              <w:t>Advertisement: This communication is an advertisement and is not a prospectus. The Base Prospectus</w:t>
            </w:r>
            <w:r>
              <w:rPr>
                <w:rFonts w:cstheme="minorHAnsi"/>
              </w:rPr>
              <w:t xml:space="preserve"> and the supplements are</w:t>
            </w:r>
            <w:r w:rsidRPr="00D909D2">
              <w:rPr>
                <w:rFonts w:cstheme="minorHAnsi"/>
              </w:rPr>
              <w:t xml:space="preserve"> available at </w:t>
            </w:r>
            <w:hyperlink r:id="rId9" w:history="1">
              <w:r w:rsidR="00D623BC" w:rsidRPr="005C4AB0">
                <w:rPr>
                  <w:rStyle w:val="Hyperlink"/>
                  <w:rFonts w:cstheme="minorHAnsi"/>
                </w:rPr>
                <w:t>https://live.euronext.com/en/product/bonds-detail/21794/documents</w:t>
              </w:r>
            </w:hyperlink>
            <w:r w:rsidRPr="00D909D2">
              <w:rPr>
                <w:rFonts w:cstheme="minorHAnsi"/>
              </w:rPr>
              <w:t xml:space="preserve"> and the Final Terms, when published, will be available at </w:t>
            </w:r>
            <w:hyperlink r:id="rId10" w:history="1">
              <w:r w:rsidR="00D623BC" w:rsidRPr="005C4AB0">
                <w:rPr>
                  <w:rStyle w:val="Hyperlink"/>
                  <w:rFonts w:cstheme="minorHAnsi"/>
                </w:rPr>
                <w:t>https://www.euronext.com/en/markets/dublin</w:t>
              </w:r>
            </w:hyperlink>
          </w:p>
        </w:tc>
      </w:tr>
      <w:tr w:rsidR="00ED2B2E" w:rsidTr="00D879F8">
        <w:trPr>
          <w:trHeight w:val="263"/>
        </w:trPr>
        <w:tc>
          <w:tcPr>
            <w:tcW w:w="3114" w:type="dxa"/>
          </w:tcPr>
          <w:p w:rsidR="00ED2B2E" w:rsidRPr="00D909D2" w:rsidRDefault="00ED2B2E" w:rsidP="00ED2B2E">
            <w:pPr>
              <w:jc w:val="both"/>
              <w:rPr>
                <w:rFonts w:cstheme="minorHAnsi"/>
                <w:sz w:val="20"/>
                <w:szCs w:val="20"/>
              </w:rPr>
            </w:pPr>
            <w:r w:rsidRPr="00D909D2">
              <w:rPr>
                <w:rFonts w:cstheme="minorHAnsi"/>
                <w:sz w:val="20"/>
                <w:szCs w:val="20"/>
              </w:rPr>
              <w:t>Joint Lead Managers</w:t>
            </w:r>
          </w:p>
        </w:tc>
        <w:tc>
          <w:tcPr>
            <w:tcW w:w="6810" w:type="dxa"/>
          </w:tcPr>
          <w:p w:rsidR="00ED2B2E" w:rsidRPr="00D909D2" w:rsidRDefault="00ED2B2E" w:rsidP="00ED2B2E">
            <w:pPr>
              <w:jc w:val="both"/>
              <w:rPr>
                <w:rFonts w:cstheme="minorHAnsi"/>
                <w:sz w:val="20"/>
                <w:szCs w:val="20"/>
              </w:rPr>
            </w:pPr>
            <w:r w:rsidRPr="00D909D2">
              <w:rPr>
                <w:rFonts w:cstheme="minorHAnsi"/>
                <w:sz w:val="20"/>
                <w:szCs w:val="20"/>
              </w:rPr>
              <w:t xml:space="preserve">BNP Paribas, </w:t>
            </w:r>
            <w:proofErr w:type="spellStart"/>
            <w:r w:rsidRPr="00D909D2">
              <w:rPr>
                <w:rFonts w:cstheme="minorHAnsi"/>
                <w:sz w:val="20"/>
                <w:szCs w:val="20"/>
              </w:rPr>
              <w:t>BofA</w:t>
            </w:r>
            <w:proofErr w:type="spellEnd"/>
            <w:r w:rsidRPr="00D909D2">
              <w:rPr>
                <w:rFonts w:cstheme="minorHAnsi"/>
                <w:sz w:val="20"/>
                <w:szCs w:val="20"/>
              </w:rPr>
              <w:t xml:space="preserve"> Securities</w:t>
            </w:r>
            <w:r w:rsidR="00B5115D">
              <w:rPr>
                <w:rFonts w:cstheme="minorHAnsi"/>
                <w:sz w:val="20"/>
                <w:szCs w:val="20"/>
              </w:rPr>
              <w:t xml:space="preserve"> (B&amp;D)</w:t>
            </w:r>
            <w:r w:rsidRPr="00D909D2">
              <w:rPr>
                <w:rFonts w:cstheme="minorHAnsi"/>
                <w:sz w:val="20"/>
                <w:szCs w:val="20"/>
              </w:rPr>
              <w:t xml:space="preserve">, </w:t>
            </w:r>
            <w:proofErr w:type="spellStart"/>
            <w:r w:rsidRPr="00D909D2">
              <w:rPr>
                <w:rFonts w:cstheme="minorHAnsi"/>
                <w:sz w:val="20"/>
                <w:szCs w:val="20"/>
              </w:rPr>
              <w:t>Crédit</w:t>
            </w:r>
            <w:proofErr w:type="spellEnd"/>
            <w:r w:rsidRPr="00D909D2">
              <w:rPr>
                <w:rFonts w:cstheme="minorHAnsi"/>
                <w:sz w:val="20"/>
                <w:szCs w:val="20"/>
              </w:rPr>
              <w:t xml:space="preserve"> </w:t>
            </w:r>
            <w:proofErr w:type="spellStart"/>
            <w:r w:rsidRPr="00D909D2">
              <w:rPr>
                <w:rFonts w:cstheme="minorHAnsi"/>
                <w:sz w:val="20"/>
                <w:szCs w:val="20"/>
              </w:rPr>
              <w:t>Agricole</w:t>
            </w:r>
            <w:proofErr w:type="spellEnd"/>
            <w:r w:rsidRPr="00D909D2">
              <w:rPr>
                <w:rFonts w:cstheme="minorHAnsi"/>
                <w:sz w:val="20"/>
                <w:szCs w:val="20"/>
              </w:rPr>
              <w:t xml:space="preserve"> CIB, Deutsche Bank and Santander</w:t>
            </w:r>
          </w:p>
        </w:tc>
      </w:tr>
      <w:tr w:rsidR="00ED2B2E" w:rsidTr="008640F2">
        <w:trPr>
          <w:trHeight w:val="1274"/>
        </w:trPr>
        <w:tc>
          <w:tcPr>
            <w:tcW w:w="3114" w:type="dxa"/>
          </w:tcPr>
          <w:p w:rsidR="00ED2B2E" w:rsidRPr="00D909D2" w:rsidRDefault="00ED2B2E" w:rsidP="00ED2B2E">
            <w:pPr>
              <w:jc w:val="both"/>
              <w:rPr>
                <w:rFonts w:cstheme="minorHAnsi"/>
                <w:sz w:val="20"/>
                <w:szCs w:val="20"/>
              </w:rPr>
            </w:pPr>
            <w:r w:rsidRPr="00D909D2">
              <w:rPr>
                <w:rFonts w:cstheme="minorHAnsi"/>
                <w:sz w:val="20"/>
                <w:szCs w:val="20"/>
              </w:rPr>
              <w:t>Legal and Other expenses</w:t>
            </w:r>
          </w:p>
        </w:tc>
        <w:tc>
          <w:tcPr>
            <w:tcW w:w="6810" w:type="dxa"/>
          </w:tcPr>
          <w:p w:rsidR="00ED2B2E" w:rsidRPr="00D909D2" w:rsidDel="000C0567" w:rsidRDefault="00ED2B2E" w:rsidP="00ED2B2E">
            <w:pPr>
              <w:jc w:val="both"/>
              <w:rPr>
                <w:rFonts w:cstheme="minorHAnsi"/>
                <w:sz w:val="20"/>
                <w:szCs w:val="20"/>
              </w:rPr>
            </w:pPr>
            <w:proofErr w:type="gramStart"/>
            <w:r w:rsidRPr="00D909D2">
              <w:rPr>
                <w:rFonts w:cstheme="minorHAnsi"/>
                <w:sz w:val="20"/>
                <w:szCs w:val="20"/>
              </w:rPr>
              <w:t>Joint Lead Managers’ legal expenses will be paid by the Joint Lead Managers</w:t>
            </w:r>
            <w:proofErr w:type="gramEnd"/>
            <w:r w:rsidRPr="00D909D2">
              <w:rPr>
                <w:rFonts w:cstheme="minorHAnsi"/>
                <w:sz w:val="20"/>
                <w:szCs w:val="20"/>
              </w:rPr>
              <w:t>. All other expenses, including but not limited to the Issuer’s own legal expenses,</w:t>
            </w:r>
            <w:r>
              <w:rPr>
                <w:rFonts w:cstheme="minorHAnsi"/>
                <w:sz w:val="20"/>
                <w:szCs w:val="20"/>
              </w:rPr>
              <w:t xml:space="preserve"> auditors expenses, rating agencies expenses, </w:t>
            </w:r>
            <w:r w:rsidRPr="00D909D2">
              <w:rPr>
                <w:rFonts w:cstheme="minorHAnsi"/>
                <w:sz w:val="20"/>
                <w:szCs w:val="20"/>
              </w:rPr>
              <w:t>listing fees and marketing fe</w:t>
            </w:r>
            <w:r>
              <w:rPr>
                <w:rFonts w:cstheme="minorHAnsi"/>
                <w:sz w:val="20"/>
                <w:szCs w:val="20"/>
              </w:rPr>
              <w:t xml:space="preserve">es, </w:t>
            </w:r>
            <w:proofErr w:type="gramStart"/>
            <w:r>
              <w:rPr>
                <w:rFonts w:cstheme="minorHAnsi"/>
                <w:sz w:val="20"/>
                <w:szCs w:val="20"/>
              </w:rPr>
              <w:t>will be paid</w:t>
            </w:r>
            <w:proofErr w:type="gramEnd"/>
            <w:r>
              <w:rPr>
                <w:rFonts w:cstheme="minorHAnsi"/>
                <w:sz w:val="20"/>
                <w:szCs w:val="20"/>
              </w:rPr>
              <w:t xml:space="preserve"> by the Issuer.</w:t>
            </w:r>
          </w:p>
        </w:tc>
      </w:tr>
    </w:tbl>
    <w:p w:rsidR="008640F2" w:rsidRDefault="008640F2" w:rsidP="008640F2">
      <w:pPr>
        <w:spacing w:after="0"/>
      </w:pPr>
    </w:p>
    <w:p w:rsidR="008640F2" w:rsidRDefault="008640F2" w:rsidP="008640F2">
      <w:pPr>
        <w:spacing w:after="0"/>
      </w:pPr>
    </w:p>
    <w:p w:rsidR="00322A7D" w:rsidRDefault="00322A7D" w:rsidP="008640F2">
      <w:pPr>
        <w:spacing w:after="0"/>
      </w:pPr>
    </w:p>
    <w:p w:rsidR="008640F2" w:rsidRDefault="008640F2" w:rsidP="008640F2">
      <w:pPr>
        <w:spacing w:after="0"/>
      </w:pPr>
    </w:p>
    <w:p w:rsidR="008640F2" w:rsidRPr="001953A3" w:rsidRDefault="008640F2" w:rsidP="008640F2">
      <w:pPr>
        <w:autoSpaceDE w:val="0"/>
        <w:autoSpaceDN w:val="0"/>
        <w:adjustRightInd w:val="0"/>
        <w:spacing w:after="0" w:line="240" w:lineRule="auto"/>
        <w:rPr>
          <w:rFonts w:cstheme="minorHAnsi"/>
          <w:b/>
          <w:bCs/>
          <w:sz w:val="20"/>
          <w:szCs w:val="20"/>
        </w:rPr>
      </w:pPr>
      <w:r w:rsidRPr="001953A3">
        <w:rPr>
          <w:rFonts w:cstheme="minorHAnsi"/>
          <w:b/>
          <w:bCs/>
          <w:sz w:val="20"/>
          <w:szCs w:val="20"/>
        </w:rPr>
        <w:t>Disclaimer</w:t>
      </w:r>
    </w:p>
    <w:p w:rsidR="008640F2" w:rsidRPr="001953A3" w:rsidRDefault="008640F2" w:rsidP="008640F2">
      <w:pPr>
        <w:autoSpaceDE w:val="0"/>
        <w:autoSpaceDN w:val="0"/>
        <w:adjustRightInd w:val="0"/>
        <w:spacing w:after="0" w:line="240" w:lineRule="auto"/>
        <w:rPr>
          <w:rFonts w:cstheme="minorHAnsi"/>
          <w:b/>
          <w:bCs/>
          <w:sz w:val="20"/>
          <w:szCs w:val="20"/>
        </w:rPr>
      </w:pPr>
    </w:p>
    <w:p w:rsidR="008640F2" w:rsidRDefault="008640F2" w:rsidP="008640F2">
      <w:pPr>
        <w:autoSpaceDE w:val="0"/>
        <w:autoSpaceDN w:val="0"/>
        <w:adjustRightInd w:val="0"/>
        <w:spacing w:after="0" w:line="240" w:lineRule="auto"/>
        <w:jc w:val="both"/>
        <w:rPr>
          <w:rFonts w:cstheme="minorHAnsi"/>
          <w:sz w:val="20"/>
          <w:szCs w:val="20"/>
        </w:rPr>
      </w:pPr>
      <w:r w:rsidRPr="00BF50BF">
        <w:rPr>
          <w:rFonts w:cstheme="minorHAnsi"/>
          <w:sz w:val="20"/>
          <w:szCs w:val="20"/>
        </w:rPr>
        <w:t xml:space="preserve">This document </w:t>
      </w:r>
      <w:r>
        <w:rPr>
          <w:rFonts w:cstheme="minorHAnsi"/>
          <w:sz w:val="20"/>
          <w:szCs w:val="20"/>
        </w:rPr>
        <w:t xml:space="preserve">is not final and </w:t>
      </w:r>
      <w:proofErr w:type="gramStart"/>
      <w:r w:rsidRPr="00BF50BF">
        <w:rPr>
          <w:rFonts w:cstheme="minorHAnsi"/>
          <w:sz w:val="20"/>
          <w:szCs w:val="20"/>
        </w:rPr>
        <w:t>has been prepared</w:t>
      </w:r>
      <w:proofErr w:type="gramEnd"/>
      <w:r w:rsidRPr="00BF50BF">
        <w:rPr>
          <w:rFonts w:cstheme="minorHAnsi"/>
          <w:sz w:val="20"/>
          <w:szCs w:val="20"/>
        </w:rPr>
        <w:t xml:space="preserve"> by the Joint Lead Managers for information purposes only</w:t>
      </w:r>
      <w:r>
        <w:rPr>
          <w:rFonts w:cstheme="minorHAnsi"/>
          <w:sz w:val="20"/>
          <w:szCs w:val="20"/>
        </w:rPr>
        <w:t>. I</w:t>
      </w:r>
      <w:r w:rsidRPr="00896C8C">
        <w:rPr>
          <w:rFonts w:cstheme="minorHAnsi"/>
          <w:sz w:val="20"/>
          <w:szCs w:val="20"/>
        </w:rPr>
        <w:t xml:space="preserve">t has not been prepared for, </w:t>
      </w:r>
      <w:proofErr w:type="gramStart"/>
      <w:r w:rsidRPr="00896C8C">
        <w:rPr>
          <w:rFonts w:cstheme="minorHAnsi"/>
          <w:sz w:val="20"/>
          <w:szCs w:val="20"/>
        </w:rPr>
        <w:t>should not be provided</w:t>
      </w:r>
      <w:proofErr w:type="gramEnd"/>
      <w:r w:rsidRPr="00896C8C">
        <w:rPr>
          <w:rFonts w:cstheme="minorHAnsi"/>
          <w:sz w:val="20"/>
          <w:szCs w:val="20"/>
        </w:rPr>
        <w:t xml:space="preserve"> to, and should not be relied upon by, any investor or any other person for any purpose. </w:t>
      </w:r>
      <w:r w:rsidRPr="00BF50BF">
        <w:rPr>
          <w:rFonts w:cstheme="minorHAnsi"/>
          <w:sz w:val="20"/>
          <w:szCs w:val="20"/>
        </w:rPr>
        <w:t xml:space="preserve"> </w:t>
      </w:r>
      <w:r>
        <w:rPr>
          <w:rFonts w:cstheme="minorHAnsi"/>
          <w:sz w:val="20"/>
          <w:szCs w:val="20"/>
        </w:rPr>
        <w:lastRenderedPageBreak/>
        <w:t xml:space="preserve">This document </w:t>
      </w:r>
      <w:r w:rsidRPr="00BF50BF">
        <w:rPr>
          <w:rFonts w:cstheme="minorHAnsi"/>
          <w:sz w:val="20"/>
          <w:szCs w:val="20"/>
        </w:rPr>
        <w:t>is not intended to create any legally binding obligations on the Joint Lead Managers and should not be construed as an underwriting commitment</w:t>
      </w:r>
      <w:r>
        <w:rPr>
          <w:rFonts w:cstheme="minorHAnsi"/>
          <w:sz w:val="20"/>
          <w:szCs w:val="20"/>
        </w:rPr>
        <w:t xml:space="preserve">, offer, solicitation to buy or sell any securities described herein (the “Notes”) </w:t>
      </w:r>
      <w:r w:rsidRPr="00BF50BF">
        <w:rPr>
          <w:rFonts w:cstheme="minorHAnsi"/>
          <w:sz w:val="20"/>
          <w:szCs w:val="20"/>
        </w:rPr>
        <w:t xml:space="preserve"> or a recommendation to conclude any transaction. The transaction described in this document is subject to </w:t>
      </w:r>
      <w:r w:rsidRPr="00896C8C">
        <w:rPr>
          <w:rFonts w:cstheme="minorHAnsi"/>
          <w:sz w:val="20"/>
          <w:szCs w:val="20"/>
        </w:rPr>
        <w:t>each Joint Lead Manager’s internal approvals</w:t>
      </w:r>
      <w:r>
        <w:rPr>
          <w:rFonts w:cstheme="minorHAnsi"/>
          <w:sz w:val="20"/>
          <w:szCs w:val="20"/>
        </w:rPr>
        <w:t xml:space="preserve">, </w:t>
      </w:r>
      <w:r w:rsidRPr="00BF50BF">
        <w:rPr>
          <w:rFonts w:cstheme="minorHAnsi"/>
          <w:sz w:val="20"/>
          <w:szCs w:val="20"/>
        </w:rPr>
        <w:t xml:space="preserve">execution of definitive legal contracts, including the relevant underwriting or subscription agreement, the delivery of conditions precedent and the completion of any necessary disclosure documentation. This document is confidential and may not be distributed </w:t>
      </w:r>
      <w:r>
        <w:rPr>
          <w:rFonts w:cstheme="minorHAnsi"/>
          <w:sz w:val="20"/>
          <w:szCs w:val="20"/>
        </w:rPr>
        <w:t xml:space="preserve">or transmitted </w:t>
      </w:r>
      <w:r w:rsidRPr="00BF50BF">
        <w:rPr>
          <w:rFonts w:cstheme="minorHAnsi"/>
          <w:sz w:val="20"/>
          <w:szCs w:val="20"/>
        </w:rPr>
        <w:t xml:space="preserve">(in whole or in part) to any other person, save for your professional or other advisers, without the prior written permission of the Joint Lead Managers. This document is only for the information of the Issuer and the Joint Lead Managers and is not for, and </w:t>
      </w:r>
      <w:proofErr w:type="gramStart"/>
      <w:r w:rsidRPr="00BF50BF">
        <w:rPr>
          <w:rFonts w:cstheme="minorHAnsi"/>
          <w:sz w:val="20"/>
          <w:szCs w:val="20"/>
        </w:rPr>
        <w:t>may not be relied upon,</w:t>
      </w:r>
      <w:proofErr w:type="gramEnd"/>
      <w:r w:rsidRPr="00BF50BF">
        <w:rPr>
          <w:rFonts w:cstheme="minorHAnsi"/>
          <w:sz w:val="20"/>
          <w:szCs w:val="20"/>
        </w:rPr>
        <w:t xml:space="preserve"> by any investor or any other person for any purpose. </w:t>
      </w:r>
    </w:p>
    <w:p w:rsidR="008640F2" w:rsidRDefault="008640F2" w:rsidP="008640F2">
      <w:pPr>
        <w:autoSpaceDE w:val="0"/>
        <w:autoSpaceDN w:val="0"/>
        <w:adjustRightInd w:val="0"/>
        <w:spacing w:after="0" w:line="240" w:lineRule="auto"/>
        <w:jc w:val="both"/>
        <w:rPr>
          <w:rFonts w:cstheme="minorHAnsi"/>
          <w:sz w:val="20"/>
          <w:szCs w:val="20"/>
        </w:rPr>
      </w:pPr>
    </w:p>
    <w:p w:rsidR="008640F2" w:rsidRDefault="008640F2" w:rsidP="008640F2">
      <w:pPr>
        <w:autoSpaceDE w:val="0"/>
        <w:autoSpaceDN w:val="0"/>
        <w:adjustRightInd w:val="0"/>
        <w:spacing w:after="0" w:line="240" w:lineRule="auto"/>
        <w:jc w:val="both"/>
        <w:rPr>
          <w:rFonts w:cstheme="minorHAnsi"/>
          <w:sz w:val="20"/>
          <w:szCs w:val="20"/>
        </w:rPr>
      </w:pPr>
      <w:r w:rsidRPr="00BF50BF">
        <w:rPr>
          <w:rFonts w:cstheme="minorHAnsi"/>
          <w:sz w:val="20"/>
          <w:szCs w:val="20"/>
        </w:rPr>
        <w:t>The Joint Lead Managers are not providing</w:t>
      </w:r>
      <w:r>
        <w:rPr>
          <w:rFonts w:cstheme="minorHAnsi"/>
          <w:sz w:val="20"/>
          <w:szCs w:val="20"/>
        </w:rPr>
        <w:t xml:space="preserve"> </w:t>
      </w:r>
      <w:r w:rsidRPr="00896C8C">
        <w:rPr>
          <w:rFonts w:cstheme="minorHAnsi"/>
          <w:sz w:val="20"/>
          <w:szCs w:val="20"/>
        </w:rPr>
        <w:t>you with any general financial, strategic or specialist advice, such as</w:t>
      </w:r>
      <w:r w:rsidRPr="00BF50BF">
        <w:rPr>
          <w:rFonts w:cstheme="minorHAnsi"/>
          <w:sz w:val="20"/>
          <w:szCs w:val="20"/>
        </w:rPr>
        <w:t xml:space="preserve"> financial, legal, tax or other advice to any recipient.</w:t>
      </w:r>
      <w:r>
        <w:rPr>
          <w:rFonts w:cstheme="minorHAnsi"/>
          <w:sz w:val="20"/>
          <w:szCs w:val="20"/>
        </w:rPr>
        <w:t xml:space="preserve"> </w:t>
      </w:r>
      <w:r w:rsidRPr="00896C8C">
        <w:rPr>
          <w:rFonts w:cstheme="minorHAnsi"/>
          <w:sz w:val="20"/>
          <w:szCs w:val="20"/>
        </w:rPr>
        <w:t>Each Joint Lead Manager is acting solely as an arm’s length contractual counterparty and not as adviser, agent or fiduciary to you or to any investor or other person.</w:t>
      </w:r>
    </w:p>
    <w:p w:rsidR="008640F2" w:rsidRDefault="008640F2" w:rsidP="008640F2">
      <w:pPr>
        <w:autoSpaceDE w:val="0"/>
        <w:autoSpaceDN w:val="0"/>
        <w:adjustRightInd w:val="0"/>
        <w:spacing w:after="0" w:line="240" w:lineRule="auto"/>
        <w:jc w:val="both"/>
        <w:rPr>
          <w:rFonts w:cstheme="minorHAnsi"/>
          <w:sz w:val="20"/>
          <w:szCs w:val="20"/>
        </w:rPr>
      </w:pPr>
    </w:p>
    <w:p w:rsidR="008640F2" w:rsidRPr="00896C8C" w:rsidRDefault="008640F2" w:rsidP="008640F2">
      <w:pPr>
        <w:autoSpaceDE w:val="0"/>
        <w:autoSpaceDN w:val="0"/>
        <w:adjustRightInd w:val="0"/>
        <w:spacing w:after="0" w:line="240" w:lineRule="auto"/>
        <w:jc w:val="both"/>
        <w:rPr>
          <w:rFonts w:cstheme="minorHAnsi"/>
          <w:sz w:val="20"/>
          <w:szCs w:val="20"/>
        </w:rPr>
      </w:pPr>
      <w:r w:rsidRPr="00896C8C">
        <w:rPr>
          <w:rFonts w:cstheme="minorHAnsi"/>
          <w:sz w:val="20"/>
          <w:szCs w:val="20"/>
        </w:rPr>
        <w:t xml:space="preserve">No action </w:t>
      </w:r>
      <w:proofErr w:type="gramStart"/>
      <w:r w:rsidRPr="00896C8C">
        <w:rPr>
          <w:rFonts w:cstheme="minorHAnsi"/>
          <w:sz w:val="20"/>
          <w:szCs w:val="20"/>
        </w:rPr>
        <w:t>has been taken</w:t>
      </w:r>
      <w:proofErr w:type="gramEnd"/>
      <w:r w:rsidRPr="00896C8C">
        <w:rPr>
          <w:rFonts w:cstheme="minorHAnsi"/>
          <w:sz w:val="20"/>
          <w:szCs w:val="20"/>
        </w:rPr>
        <w:t xml:space="preserve"> by the Joint Lead Managers to permit a public offering in any jurisdiction. The Joint Lead Managers accept no liability whatsoever </w:t>
      </w:r>
      <w:proofErr w:type="gramStart"/>
      <w:r w:rsidRPr="00896C8C">
        <w:rPr>
          <w:rFonts w:cstheme="minorHAnsi"/>
          <w:sz w:val="20"/>
          <w:szCs w:val="20"/>
        </w:rPr>
        <w:t>to the fullest extent</w:t>
      </w:r>
      <w:proofErr w:type="gramEnd"/>
      <w:r w:rsidRPr="00896C8C">
        <w:rPr>
          <w:rFonts w:cstheme="minorHAnsi"/>
          <w:sz w:val="20"/>
          <w:szCs w:val="20"/>
        </w:rPr>
        <w:t xml:space="preserve"> permitted by law for any consequential losses arising from the use of this term sheet or reliance on the information contained herein. The terms (including rates) contained herein are indicative only and are subject to change without notice.</w:t>
      </w:r>
      <w:r>
        <w:rPr>
          <w:rFonts w:cstheme="minorHAnsi"/>
          <w:sz w:val="20"/>
          <w:szCs w:val="20"/>
        </w:rPr>
        <w:t xml:space="preserve"> </w:t>
      </w:r>
      <w:r w:rsidRPr="00896C8C">
        <w:rPr>
          <w:rFonts w:cstheme="minorHAnsi"/>
          <w:sz w:val="20"/>
          <w:szCs w:val="20"/>
        </w:rPr>
        <w:t xml:space="preserve">The Joint Lead Managers make no representation as to the completeness or accuracy of the information contained in this document. </w:t>
      </w:r>
    </w:p>
    <w:p w:rsidR="008640F2" w:rsidRPr="00896C8C" w:rsidRDefault="008640F2" w:rsidP="008640F2">
      <w:pPr>
        <w:autoSpaceDE w:val="0"/>
        <w:autoSpaceDN w:val="0"/>
        <w:adjustRightInd w:val="0"/>
        <w:spacing w:after="0" w:line="240" w:lineRule="auto"/>
        <w:jc w:val="both"/>
        <w:rPr>
          <w:rFonts w:cstheme="minorHAnsi"/>
          <w:sz w:val="20"/>
          <w:szCs w:val="20"/>
        </w:rPr>
      </w:pPr>
    </w:p>
    <w:p w:rsidR="008640F2" w:rsidRPr="00896C8C" w:rsidRDefault="008640F2" w:rsidP="008640F2">
      <w:pPr>
        <w:autoSpaceDE w:val="0"/>
        <w:autoSpaceDN w:val="0"/>
        <w:adjustRightInd w:val="0"/>
        <w:spacing w:after="0" w:line="240" w:lineRule="auto"/>
        <w:jc w:val="both"/>
        <w:rPr>
          <w:rFonts w:cstheme="minorHAnsi"/>
          <w:sz w:val="20"/>
          <w:szCs w:val="20"/>
        </w:rPr>
      </w:pPr>
      <w:r w:rsidRPr="00896C8C">
        <w:rPr>
          <w:rFonts w:cstheme="minorHAnsi"/>
          <w:sz w:val="20"/>
          <w:szCs w:val="20"/>
        </w:rPr>
        <w:t xml:space="preserve">No offering of securities shall be made in the United States except pursuant to registration under the United States Securities Act of 1933 (as amended the “Securities Act”) or any exemption from such registration provided by Rule 144A or Regulation S of the Securities Act and this term sheet may not be distributed in the United States. </w:t>
      </w:r>
    </w:p>
    <w:p w:rsidR="008640F2" w:rsidRPr="00896C8C" w:rsidRDefault="008640F2" w:rsidP="008640F2">
      <w:pPr>
        <w:autoSpaceDE w:val="0"/>
        <w:autoSpaceDN w:val="0"/>
        <w:adjustRightInd w:val="0"/>
        <w:spacing w:after="0" w:line="240" w:lineRule="auto"/>
        <w:jc w:val="both"/>
        <w:rPr>
          <w:rFonts w:cstheme="minorHAnsi"/>
          <w:sz w:val="20"/>
          <w:szCs w:val="20"/>
        </w:rPr>
      </w:pPr>
    </w:p>
    <w:p w:rsidR="008640F2" w:rsidRPr="00896C8C" w:rsidRDefault="008640F2" w:rsidP="008640F2">
      <w:pPr>
        <w:autoSpaceDE w:val="0"/>
        <w:autoSpaceDN w:val="0"/>
        <w:adjustRightInd w:val="0"/>
        <w:spacing w:after="0" w:line="240" w:lineRule="auto"/>
        <w:jc w:val="both"/>
        <w:rPr>
          <w:rFonts w:cstheme="minorHAnsi"/>
          <w:sz w:val="20"/>
          <w:szCs w:val="20"/>
        </w:rPr>
      </w:pPr>
      <w:r w:rsidRPr="00896C8C">
        <w:rPr>
          <w:rFonts w:cstheme="minorHAnsi"/>
          <w:sz w:val="20"/>
          <w:szCs w:val="20"/>
        </w:rPr>
        <w:t xml:space="preserve">Before entering into this or any related transaction you should ensure </w:t>
      </w:r>
      <w:proofErr w:type="gramStart"/>
      <w:r w:rsidRPr="00896C8C">
        <w:rPr>
          <w:rFonts w:cstheme="minorHAnsi"/>
          <w:sz w:val="20"/>
          <w:szCs w:val="20"/>
        </w:rPr>
        <w:t>that</w:t>
      </w:r>
      <w:proofErr w:type="gramEnd"/>
      <w:r w:rsidRPr="00896C8C">
        <w:rPr>
          <w:rFonts w:cstheme="minorHAnsi"/>
          <w:sz w:val="20"/>
          <w:szCs w:val="20"/>
        </w:rPr>
        <w:t xml:space="preserve"> you fully understand the potential risks and returns of this transaction and decide whether it is appropriate and suitable for you. In making this </w:t>
      </w:r>
      <w:proofErr w:type="gramStart"/>
      <w:r w:rsidRPr="00896C8C">
        <w:rPr>
          <w:rFonts w:cstheme="minorHAnsi"/>
          <w:sz w:val="20"/>
          <w:szCs w:val="20"/>
        </w:rPr>
        <w:t>decision</w:t>
      </w:r>
      <w:proofErr w:type="gramEnd"/>
      <w:r w:rsidRPr="00896C8C">
        <w:rPr>
          <w:rFonts w:cstheme="minorHAnsi"/>
          <w:sz w:val="20"/>
          <w:szCs w:val="20"/>
        </w:rPr>
        <w:t xml:space="preserve"> you should consult with such advisors as you deem necessary. </w:t>
      </w:r>
    </w:p>
    <w:p w:rsidR="008640F2" w:rsidRPr="00BF50BF" w:rsidRDefault="008640F2" w:rsidP="008640F2">
      <w:pPr>
        <w:autoSpaceDE w:val="0"/>
        <w:autoSpaceDN w:val="0"/>
        <w:adjustRightInd w:val="0"/>
        <w:spacing w:after="0" w:line="240" w:lineRule="auto"/>
        <w:jc w:val="both"/>
        <w:rPr>
          <w:rFonts w:cstheme="minorHAnsi"/>
          <w:sz w:val="20"/>
          <w:szCs w:val="20"/>
        </w:rPr>
      </w:pPr>
    </w:p>
    <w:p w:rsidR="008640F2" w:rsidRDefault="008640F2" w:rsidP="008640F2">
      <w:pPr>
        <w:spacing w:after="0"/>
      </w:pPr>
      <w:r w:rsidRPr="00BF50BF">
        <w:rPr>
          <w:rFonts w:cstheme="minorHAnsi"/>
          <w:sz w:val="20"/>
          <w:szCs w:val="20"/>
        </w:rPr>
        <w:t>Each of the Joint Lead Managers may from time to time, as principal or agent, have positions in, or may buy or sell, or make a market in any securities, currencies, financial instruments or other assets underlying the transaction to which this document relates. The Joint Lead Managers trading and/or hedging activities related to the transaction to which this document relates may have an impact on the price of the securities to which this document relates.</w:t>
      </w:r>
    </w:p>
    <w:sectPr w:rsidR="008640F2" w:rsidSect="008640F2">
      <w:headerReference w:type="even" r:id="rId11"/>
      <w:headerReference w:type="default" r:id="rId12"/>
      <w:footerReference w:type="even" r:id="rId13"/>
      <w:footerReference w:type="default" r:id="rId14"/>
      <w:headerReference w:type="first" r:id="rId15"/>
      <w:footerReference w:type="first" r:id="rId16"/>
      <w:pgSz w:w="11906" w:h="16838"/>
      <w:pgMar w:top="851" w:right="991"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D37" w:rsidRDefault="00F32D37" w:rsidP="00F32D37">
      <w:pPr>
        <w:spacing w:after="0" w:line="240" w:lineRule="auto"/>
      </w:pPr>
      <w:r>
        <w:separator/>
      </w:r>
    </w:p>
  </w:endnote>
  <w:endnote w:type="continuationSeparator" w:id="0">
    <w:p w:rsidR="00F32D37" w:rsidRDefault="00F32D37" w:rsidP="00F32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930" w:rsidRDefault="002C6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930" w:rsidRDefault="002C69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930" w:rsidRDefault="002C6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D37" w:rsidRDefault="00F32D37" w:rsidP="00F32D37">
      <w:pPr>
        <w:spacing w:after="0" w:line="240" w:lineRule="auto"/>
      </w:pPr>
      <w:r>
        <w:separator/>
      </w:r>
    </w:p>
  </w:footnote>
  <w:footnote w:type="continuationSeparator" w:id="0">
    <w:p w:rsidR="00F32D37" w:rsidRDefault="00F32D37" w:rsidP="00F32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930" w:rsidRDefault="002C69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930" w:rsidRDefault="002C69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930" w:rsidRDefault="002C69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D37"/>
    <w:rsid w:val="001B5C4C"/>
    <w:rsid w:val="002C6930"/>
    <w:rsid w:val="002D3AD5"/>
    <w:rsid w:val="00322A7D"/>
    <w:rsid w:val="004162BE"/>
    <w:rsid w:val="00450EFD"/>
    <w:rsid w:val="004B2EF2"/>
    <w:rsid w:val="004C5C63"/>
    <w:rsid w:val="00503F08"/>
    <w:rsid w:val="006C134C"/>
    <w:rsid w:val="007A721E"/>
    <w:rsid w:val="007B61C7"/>
    <w:rsid w:val="007E6E0F"/>
    <w:rsid w:val="007E79B0"/>
    <w:rsid w:val="008640F2"/>
    <w:rsid w:val="008825FF"/>
    <w:rsid w:val="00AA05FE"/>
    <w:rsid w:val="00B5115D"/>
    <w:rsid w:val="00B75576"/>
    <w:rsid w:val="00BE0FB4"/>
    <w:rsid w:val="00C25609"/>
    <w:rsid w:val="00D623BC"/>
    <w:rsid w:val="00D87658"/>
    <w:rsid w:val="00D879F8"/>
    <w:rsid w:val="00E760C8"/>
    <w:rsid w:val="00E84A8E"/>
    <w:rsid w:val="00ED2B2E"/>
    <w:rsid w:val="00F027FD"/>
    <w:rsid w:val="00F32D37"/>
    <w:rsid w:val="00FB0E2A"/>
    <w:rsid w:val="00FC0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AFAD3FA-BD08-4B81-AEDB-0694A82A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D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D37"/>
  </w:style>
  <w:style w:type="paragraph" w:styleId="Footer">
    <w:name w:val="footer"/>
    <w:basedOn w:val="Normal"/>
    <w:link w:val="FooterChar"/>
    <w:uiPriority w:val="99"/>
    <w:unhideWhenUsed/>
    <w:rsid w:val="00F32D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D37"/>
  </w:style>
  <w:style w:type="paragraph" w:styleId="BalloonText">
    <w:name w:val="Balloon Text"/>
    <w:basedOn w:val="Normal"/>
    <w:link w:val="BalloonTextChar"/>
    <w:uiPriority w:val="99"/>
    <w:semiHidden/>
    <w:unhideWhenUsed/>
    <w:rsid w:val="00F32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D37"/>
    <w:rPr>
      <w:rFonts w:ascii="Segoe UI" w:hAnsi="Segoe UI" w:cs="Segoe UI"/>
      <w:sz w:val="18"/>
      <w:szCs w:val="18"/>
    </w:rPr>
  </w:style>
  <w:style w:type="table" w:styleId="TableGrid">
    <w:name w:val="Table Grid"/>
    <w:basedOn w:val="TableNormal"/>
    <w:uiPriority w:val="39"/>
    <w:rsid w:val="00864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40F2"/>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Hyperlink">
    <w:name w:val="Hyperlink"/>
    <w:basedOn w:val="DefaultParagraphFont"/>
    <w:uiPriority w:val="99"/>
    <w:unhideWhenUsed/>
    <w:rsid w:val="004B2EF2"/>
    <w:rPr>
      <w:color w:val="0563C1" w:themeColor="hyperlink"/>
      <w:u w:val="single"/>
    </w:rPr>
  </w:style>
  <w:style w:type="character" w:customStyle="1" w:styleId="messagesbodytextfatal">
    <w:name w:val="messagesbodytextfatal"/>
    <w:basedOn w:val="DefaultParagraphFont"/>
    <w:rsid w:val="001B5C4C"/>
  </w:style>
  <w:style w:type="paragraph" w:styleId="CommentText">
    <w:name w:val="annotation text"/>
    <w:basedOn w:val="Normal"/>
    <w:link w:val="CommentTextChar"/>
    <w:uiPriority w:val="99"/>
    <w:unhideWhenUsed/>
    <w:rsid w:val="002C6930"/>
    <w:pPr>
      <w:spacing w:line="240" w:lineRule="auto"/>
    </w:pPr>
    <w:rPr>
      <w:sz w:val="20"/>
      <w:szCs w:val="20"/>
    </w:rPr>
  </w:style>
  <w:style w:type="character" w:customStyle="1" w:styleId="CommentTextChar">
    <w:name w:val="Comment Text Char"/>
    <w:basedOn w:val="DefaultParagraphFont"/>
    <w:link w:val="CommentText"/>
    <w:uiPriority w:val="99"/>
    <w:rsid w:val="002C693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edem.it/content/dam/credem/documenti/gruppo-credem/sostenibilita/green-social---sustainability-bonds-framework/2023/CREDEM%20Green,%20Social%20and%20Sustainability%20Bond%20Framework.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ustomXml" Target="../customXml/item3.xml"/><Relationship Id="rId7" Type="http://schemas.openxmlformats.org/officeDocument/2006/relationships/image" Target="cid:image004.png@01D58295.C2BEF490"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euronext.com/en/markets/dublin" TargetMode="External"/><Relationship Id="rId19"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hyperlink" Target="https://live.euronext.com/en/product/bonds-detail/21794/document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510867-0883-4AE6-807E-EF01AD5F33C9}"/>
</file>

<file path=customXml/itemProps2.xml><?xml version="1.0" encoding="utf-8"?>
<ds:datastoreItem xmlns:ds="http://schemas.openxmlformats.org/officeDocument/2006/customXml" ds:itemID="{81A3EC2B-7E1E-40B8-89D3-6C40D6B8B2E1}"/>
</file>

<file path=customXml/itemProps3.xml><?xml version="1.0" encoding="utf-8"?>
<ds:datastoreItem xmlns:ds="http://schemas.openxmlformats.org/officeDocument/2006/customXml" ds:itemID="{3D0EEDB3-F072-4656-8FDB-381EC96E04FD}"/>
</file>

<file path=docProps/app.xml><?xml version="1.0" encoding="utf-8"?>
<Properties xmlns="http://schemas.openxmlformats.org/officeDocument/2006/extended-properties" xmlns:vt="http://schemas.openxmlformats.org/officeDocument/2006/docPropsVTypes">
  <Template>Normal.dotm</Template>
  <TotalTime>0</TotalTime>
  <Pages>4</Pages>
  <Words>1872</Words>
  <Characters>10676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BNP Paribas</Company>
  <LinksUpToDate>false</LinksUpToDate>
  <CharactersWithSpaces>12523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Monia  BENLAHCEN</dc:creator>
  <cp:keywords/>
  <dc:description/>
  <cp:lastModifiedBy>Elisa LAFUENTE</cp:lastModifiedBy>
  <cp:revision>2</cp:revision>
  <dcterms:created xsi:type="dcterms:W3CDTF">2023-09-18T17:11:00Z</dcterms:created>
  <dcterms:modified xsi:type="dcterms:W3CDTF">2023-09-18T17:11:00Z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357db8-9d3c-43cb-aa53-6fabb7f1a20a_Enabled">
    <vt:lpwstr>true</vt:lpwstr>
  </property>
  <property fmtid="{D5CDD505-2E9C-101B-9397-08002B2CF9AE}" pid="3" name="MSIP_Label_81357db8-9d3c-43cb-aa53-6fabb7f1a20a_SetDate">
    <vt:lpwstr>2023-09-05T10:42:33Z</vt:lpwstr>
  </property>
  <property fmtid="{D5CDD505-2E9C-101B-9397-08002B2CF9AE}" pid="4" name="MSIP_Label_81357db8-9d3c-43cb-aa53-6fabb7f1a20a_Method">
    <vt:lpwstr>Privileged</vt:lpwstr>
  </property>
  <property fmtid="{D5CDD505-2E9C-101B-9397-08002B2CF9AE}" pid="5" name="MSIP_Label_81357db8-9d3c-43cb-aa53-6fabb7f1a20a_Name">
    <vt:lpwstr>Confidential - External party property</vt:lpwstr>
  </property>
  <property fmtid="{D5CDD505-2E9C-101B-9397-08002B2CF9AE}" pid="6" name="MSIP_Label_81357db8-9d3c-43cb-aa53-6fabb7f1a20a_SiteId">
    <vt:lpwstr>614f9c25-bffa-42c7-86d8-964101f55fa2</vt:lpwstr>
  </property>
  <property fmtid="{D5CDD505-2E9C-101B-9397-08002B2CF9AE}" pid="7" name="MSIP_Label_81357db8-9d3c-43cb-aa53-6fabb7f1a20a_ActionId">
    <vt:lpwstr>570fcb0c-44ea-48e0-9921-9108bab8cca1</vt:lpwstr>
  </property>
  <property fmtid="{D5CDD505-2E9C-101B-9397-08002B2CF9AE}" pid="8" name="MSIP_Label_81357db8-9d3c-43cb-aa53-6fabb7f1a20a_ContentBits">
    <vt:lpwstr>0</vt:lpwstr>
  </property>
  <property fmtid="{D5CDD505-2E9C-101B-9397-08002B2CF9AE}" pid="9" name="_AdHocReviewCycleID">
    <vt:i4>1506002845</vt:i4>
  </property>
  <property fmtid="{D5CDD505-2E9C-101B-9397-08002B2CF9AE}" pid="10" name="_NewReviewCycle">
    <vt:lpwstr/>
  </property>
  <property fmtid="{D5CDD505-2E9C-101B-9397-08002B2CF9AE}" pid="11" name="_EmailSubject">
    <vt:lpwstr>Broken Amount Calculation - XS2684860203 </vt:lpwstr>
  </property>
  <property fmtid="{D5CDD505-2E9C-101B-9397-08002B2CF9AE}" pid="12" name="_AuthorEmail">
    <vt:lpwstr>at.bonds@imceu.eu.ssmb.com</vt:lpwstr>
  </property>
  <property fmtid="{D5CDD505-2E9C-101B-9397-08002B2CF9AE}" pid="13" name="_AuthorEmailDisplayName">
    <vt:lpwstr>*GSS DUB A&amp;T Bonds</vt:lpwstr>
  </property>
  <property fmtid="{D5CDD505-2E9C-101B-9397-08002B2CF9AE}" pid="14" name="_PreviousAdHocReviewCycleID">
    <vt:i4>1506002845</vt:i4>
  </property>
</Properties>
</file>