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56A1" w14:textId="5CD75291" w:rsidR="003963D7" w:rsidRDefault="006A104E" w:rsidP="00352669">
      <w:pPr>
        <w:pStyle w:val="Body"/>
        <w:rPr>
          <w:b/>
          <w:bCs/>
        </w:rPr>
      </w:pPr>
      <w:bookmarkStart w:id="0" w:name="bmkStart"/>
      <w:bookmarkEnd w:id="0"/>
      <w:r w:rsidRPr="006A104E">
        <w:rPr>
          <w:b/>
          <w:bCs/>
        </w:rPr>
        <w:t>NOT FOR DISTRIBUTION IN OR INTO OR TO ANY PERSON LOCATED OR RESIDENT IN ANY JURISDICTION WHERE IT IS UNLAWFUL TO RELEASE, PUBLISH OR DISTRIBUTE THIS ANNOUNCEMENT</w:t>
      </w:r>
      <w:r w:rsidR="00194D85">
        <w:rPr>
          <w:b/>
          <w:bCs/>
        </w:rPr>
        <w:t>.</w:t>
      </w:r>
      <w:r w:rsidRPr="006A104E">
        <w:rPr>
          <w:b/>
          <w:bCs/>
        </w:rPr>
        <w:t xml:space="preserve"> </w:t>
      </w:r>
      <w:r w:rsidR="007545DB" w:rsidRPr="007545DB">
        <w:rPr>
          <w:b/>
          <w:bCs/>
        </w:rPr>
        <w:t>OTHER RESTRICTIONS APPLY (SEE “OFFER</w:t>
      </w:r>
      <w:r w:rsidR="007545DB">
        <w:rPr>
          <w:b/>
          <w:bCs/>
        </w:rPr>
        <w:t>, SOLICITATION</w:t>
      </w:r>
      <w:r w:rsidR="007545DB">
        <w:t xml:space="preserve"> </w:t>
      </w:r>
      <w:r w:rsidR="007545DB" w:rsidRPr="007545DB">
        <w:rPr>
          <w:b/>
          <w:bCs/>
        </w:rPr>
        <w:t>AND DISTRIBUTION RESTRICTIONS” BELOW).</w:t>
      </w:r>
    </w:p>
    <w:p w14:paraId="4B876735" w14:textId="77777777" w:rsidR="007545DB" w:rsidRDefault="007545DB" w:rsidP="00352669">
      <w:pPr>
        <w:pStyle w:val="Body"/>
        <w:rPr>
          <w:b/>
          <w:bCs/>
        </w:rPr>
      </w:pPr>
    </w:p>
    <w:p w14:paraId="79545A63" w14:textId="06D5FA97" w:rsidR="003963D7" w:rsidRDefault="003963D7" w:rsidP="003963D7">
      <w:pPr>
        <w:pStyle w:val="Body"/>
        <w:jc w:val="center"/>
        <w:rPr>
          <w:b/>
        </w:rPr>
      </w:pPr>
      <w:r w:rsidRPr="003963D7">
        <w:rPr>
          <w:b/>
        </w:rPr>
        <w:t>DTEK</w:t>
      </w:r>
      <w:r w:rsidR="004B4B78">
        <w:rPr>
          <w:b/>
        </w:rPr>
        <w:t xml:space="preserve"> - </w:t>
      </w:r>
      <w:r w:rsidRPr="003963D7">
        <w:rPr>
          <w:b/>
        </w:rPr>
        <w:t xml:space="preserve"> </w:t>
      </w:r>
      <w:r w:rsidR="00D21594" w:rsidRPr="00D21594">
        <w:rPr>
          <w:b/>
        </w:rPr>
        <w:t>TENDER OFFER AND CONSENT SOLICITATION</w:t>
      </w:r>
      <w:r w:rsidR="004B4B78">
        <w:rPr>
          <w:b/>
        </w:rPr>
        <w:t xml:space="preserve"> -  </w:t>
      </w:r>
      <w:r w:rsidR="004D7664">
        <w:rPr>
          <w:b/>
        </w:rPr>
        <w:t xml:space="preserve">STATUS </w:t>
      </w:r>
      <w:r w:rsidR="004B4B78">
        <w:rPr>
          <w:b/>
        </w:rPr>
        <w:t xml:space="preserve">INSTRUCTIONS OF </w:t>
      </w:r>
      <w:r w:rsidR="004D7664">
        <w:rPr>
          <w:b/>
        </w:rPr>
        <w:t>PARTICIPATING HOLDERS</w:t>
      </w:r>
    </w:p>
    <w:p w14:paraId="7CAAC47E" w14:textId="0A21D6B7" w:rsidR="00352669" w:rsidRPr="003963D7" w:rsidRDefault="009E1348" w:rsidP="00C8074E">
      <w:pPr>
        <w:pStyle w:val="Body"/>
        <w:rPr>
          <w:bCs/>
        </w:rPr>
      </w:pPr>
      <w:r>
        <w:rPr>
          <w:lang w:val="en-US"/>
        </w:rPr>
        <w:t>6</w:t>
      </w:r>
      <w:r w:rsidR="00B125BD" w:rsidRPr="003963D7">
        <w:rPr>
          <w:bCs/>
        </w:rPr>
        <w:t xml:space="preserve"> </w:t>
      </w:r>
      <w:r w:rsidR="007315A5">
        <w:rPr>
          <w:bCs/>
        </w:rPr>
        <w:t>October</w:t>
      </w:r>
      <w:r w:rsidR="00B125BD" w:rsidRPr="003963D7">
        <w:rPr>
          <w:bCs/>
        </w:rPr>
        <w:t xml:space="preserve"> 2023</w:t>
      </w:r>
    </w:p>
    <w:p w14:paraId="57FB4B5D" w14:textId="5F8ED9FF" w:rsidR="0058740C" w:rsidRDefault="0058740C" w:rsidP="00876D4D">
      <w:pPr>
        <w:pStyle w:val="Body"/>
      </w:pPr>
      <w:r w:rsidRPr="0058740C">
        <w:t xml:space="preserve">Reference is made to the Tender Offer and Consent Solicitation announced by </w:t>
      </w:r>
      <w:r>
        <w:t>DTEK Holdings Limited (the “</w:t>
      </w:r>
      <w:r w:rsidRPr="00876D4D">
        <w:rPr>
          <w:b/>
          <w:bCs/>
        </w:rPr>
        <w:t>Offeror</w:t>
      </w:r>
      <w:r>
        <w:t xml:space="preserve">”) and </w:t>
      </w:r>
      <w:r w:rsidRPr="00876D4D">
        <w:t>DTEK Energy B.V. (the “</w:t>
      </w:r>
      <w:r w:rsidRPr="00876D4D">
        <w:rPr>
          <w:b/>
          <w:bCs/>
        </w:rPr>
        <w:t>Issuer</w:t>
      </w:r>
      <w:r w:rsidRPr="00876D4D">
        <w:t xml:space="preserve">”) </w:t>
      </w:r>
      <w:r w:rsidRPr="0058740C">
        <w:t>on 12 September 2023, relating to the 7.0/7.5% Senior Secured PIK Toggle Notes due 2027, originally issued by DTEK Finance plc, with DTEK Energy B.V. as successor issuer to DTEK Finance plc (ISIN: XS2342930521) (the “</w:t>
      </w:r>
      <w:r w:rsidRPr="0058740C">
        <w:rPr>
          <w:b/>
          <w:bCs/>
        </w:rPr>
        <w:t>Notes</w:t>
      </w:r>
      <w:r w:rsidRPr="0058740C">
        <w:t xml:space="preserve">”). </w:t>
      </w:r>
    </w:p>
    <w:p w14:paraId="7B63C745" w14:textId="5348122D" w:rsidR="002923A5" w:rsidRDefault="00421884" w:rsidP="00876D4D">
      <w:pPr>
        <w:pStyle w:val="Body"/>
      </w:pPr>
      <w:bookmarkStart w:id="1" w:name="_Hlk146308953"/>
      <w:r>
        <w:t>O</w:t>
      </w:r>
      <w:r w:rsidR="009E1348">
        <w:t xml:space="preserve">n 5 October </w:t>
      </w:r>
      <w:r w:rsidR="0041045A">
        <w:t>2023 t</w:t>
      </w:r>
      <w:r w:rsidR="00B80BEC" w:rsidRPr="0058740C">
        <w:t>he Offeror and the Issuer</w:t>
      </w:r>
      <w:r w:rsidR="00B80BEC" w:rsidRPr="00876D4D">
        <w:t xml:space="preserve"> </w:t>
      </w:r>
      <w:bookmarkEnd w:id="1"/>
      <w:r w:rsidR="00B80BEC">
        <w:t xml:space="preserve">published </w:t>
      </w:r>
      <w:r w:rsidR="00063FDD" w:rsidRPr="00063FDD">
        <w:t xml:space="preserve">the </w:t>
      </w:r>
      <w:r w:rsidR="00B80BEC" w:rsidRPr="00063FDD">
        <w:t>Amendment to the Tender Offer and Consent Solicitation Memorandum</w:t>
      </w:r>
      <w:r w:rsidR="00FC4C05">
        <w:t xml:space="preserve"> </w:t>
      </w:r>
      <w:r w:rsidR="002923A5" w:rsidRPr="002923A5">
        <w:t>and announced a further extension to the Tender Offer and Consent Solicitation</w:t>
      </w:r>
      <w:r w:rsidR="00C4595A" w:rsidRPr="00C4595A">
        <w:t>.</w:t>
      </w:r>
      <w:r w:rsidR="009A5B85">
        <w:t xml:space="preserve"> </w:t>
      </w:r>
    </w:p>
    <w:p w14:paraId="5CE9E8C9" w14:textId="77777777" w:rsidR="006F7A17" w:rsidRDefault="00FC4C05" w:rsidP="00876D4D">
      <w:pPr>
        <w:pStyle w:val="Body"/>
      </w:pPr>
      <w:r>
        <w:t xml:space="preserve">Holders of the Notes who submitted Tender and Consent Instructions or Consent Only Instructions </w:t>
      </w:r>
      <w:r w:rsidR="005F31AA">
        <w:t xml:space="preserve">prior to </w:t>
      </w:r>
      <w:r w:rsidR="00673C9D">
        <w:t>5 September 2023</w:t>
      </w:r>
      <w:r w:rsidR="00B81997">
        <w:t xml:space="preserve"> </w:t>
      </w:r>
      <w:r>
        <w:t xml:space="preserve">in connection </w:t>
      </w:r>
      <w:r w:rsidR="005C1D15">
        <w:t xml:space="preserve">the Tender Offer and Consent Solicitation should note that their instructions have been </w:t>
      </w:r>
      <w:r w:rsidR="005C1D15" w:rsidRPr="005C1D15">
        <w:t>cancelled</w:t>
      </w:r>
      <w:r w:rsidR="005C1D15">
        <w:t xml:space="preserve">. </w:t>
      </w:r>
      <w:r w:rsidR="005C1D15" w:rsidRPr="005C1D15">
        <w:rPr>
          <w:b/>
          <w:bCs/>
        </w:rPr>
        <w:t xml:space="preserve">To participate in the Tender Offer and Consent Solicitation such holders are </w:t>
      </w:r>
      <w:r w:rsidR="005C1D15" w:rsidRPr="005E5D5D">
        <w:rPr>
          <w:b/>
          <w:bCs/>
          <w:u w:val="single"/>
        </w:rPr>
        <w:t xml:space="preserve">urged to resubmit their </w:t>
      </w:r>
      <w:r w:rsidR="005E5D5D">
        <w:rPr>
          <w:b/>
          <w:bCs/>
          <w:u w:val="single"/>
        </w:rPr>
        <w:t>I</w:t>
      </w:r>
      <w:r w:rsidR="005C1D15" w:rsidRPr="005E5D5D">
        <w:rPr>
          <w:b/>
          <w:bCs/>
          <w:u w:val="single"/>
        </w:rPr>
        <w:t>nstructions</w:t>
      </w:r>
      <w:r w:rsidR="005C1D15" w:rsidRPr="005C1D15">
        <w:rPr>
          <w:b/>
          <w:bCs/>
        </w:rPr>
        <w:t xml:space="preserve"> v</w:t>
      </w:r>
      <w:r w:rsidR="004B4B78">
        <w:rPr>
          <w:b/>
          <w:bCs/>
        </w:rPr>
        <w:t>ia</w:t>
      </w:r>
      <w:r w:rsidR="005C1D15" w:rsidRPr="005C1D15">
        <w:rPr>
          <w:b/>
          <w:bCs/>
        </w:rPr>
        <w:t xml:space="preserve"> their custodian as soon as possible.</w:t>
      </w:r>
      <w:r w:rsidR="005C1D15">
        <w:rPr>
          <w:u w:val="single"/>
        </w:rPr>
        <w:t xml:space="preserve"> </w:t>
      </w:r>
      <w:r>
        <w:t xml:space="preserve"> </w:t>
      </w:r>
    </w:p>
    <w:p w14:paraId="5DA24B3D" w14:textId="6248F125" w:rsidR="00B80BEC" w:rsidRPr="00B80BEC" w:rsidRDefault="006F7A17" w:rsidP="00876D4D">
      <w:pPr>
        <w:pStyle w:val="Body"/>
      </w:pPr>
      <w:r>
        <w:rPr>
          <w:b/>
          <w:bCs/>
        </w:rPr>
        <w:t>Holders are reminded that the</w:t>
      </w:r>
      <w:r w:rsidRPr="00CB7916">
        <w:rPr>
          <w:b/>
          <w:bCs/>
        </w:rPr>
        <w:t xml:space="preserve"> Expiration Deadline is 5:00 p.m. (London time) on </w:t>
      </w:r>
      <w:bookmarkStart w:id="2" w:name="_Hlk147169230"/>
      <w:r w:rsidRPr="00CB7916">
        <w:rPr>
          <w:b/>
          <w:bCs/>
        </w:rPr>
        <w:t>1</w:t>
      </w:r>
      <w:r>
        <w:rPr>
          <w:b/>
          <w:bCs/>
        </w:rPr>
        <w:t>0</w:t>
      </w:r>
      <w:r w:rsidRPr="00CB7916">
        <w:rPr>
          <w:b/>
          <w:bCs/>
        </w:rPr>
        <w:t xml:space="preserve"> October 2023</w:t>
      </w:r>
      <w:bookmarkEnd w:id="2"/>
    </w:p>
    <w:p w14:paraId="2ACA8B5B" w14:textId="0760249E" w:rsidR="00C15076" w:rsidRDefault="00C15076" w:rsidP="00C15076">
      <w:pPr>
        <w:pStyle w:val="Body"/>
      </w:pPr>
      <w:r w:rsidRPr="006A104E">
        <w:t xml:space="preserve">Capitalised terms used in this announcement but not otherwise defined have the meanings given to </w:t>
      </w:r>
      <w:r w:rsidRPr="00C15076">
        <w:t xml:space="preserve">them </w:t>
      </w:r>
      <w:r w:rsidR="00B80BEC" w:rsidRPr="00B80BEC">
        <w:t>in the Tender Offer and Consent Solicitation Memorandum</w:t>
      </w:r>
      <w:r w:rsidRPr="00C15076">
        <w:t>.</w:t>
      </w:r>
    </w:p>
    <w:p w14:paraId="113B42F8" w14:textId="6C7BFB98" w:rsidR="003F548C" w:rsidRDefault="003F548C" w:rsidP="005411F0">
      <w:pPr>
        <w:pStyle w:val="Body"/>
      </w:pPr>
      <w:r>
        <w:t xml:space="preserve">If you need further information about </w:t>
      </w:r>
      <w:r w:rsidR="00075AFB">
        <w:t>the</w:t>
      </w:r>
      <w:r w:rsidR="001D3BFA">
        <w:t xml:space="preserve"> </w:t>
      </w:r>
      <w:r w:rsidR="007545DB" w:rsidRPr="007545DB">
        <w:t>Tender Offer</w:t>
      </w:r>
      <w:r w:rsidR="001D3BFA">
        <w:t xml:space="preserve"> or the </w:t>
      </w:r>
      <w:r w:rsidR="001D3BFA" w:rsidRPr="001D3BFA">
        <w:t>Consent Solicitation</w:t>
      </w:r>
      <w:r>
        <w:t xml:space="preserve">, please contact the </w:t>
      </w:r>
      <w:r w:rsidR="00075AFB">
        <w:t>Tender and Tabulation</w:t>
      </w:r>
      <w:r w:rsidR="00315357">
        <w:t xml:space="preserve"> Agent</w:t>
      </w:r>
      <w:r w:rsidR="007545DB">
        <w:t>,</w:t>
      </w:r>
      <w:r w:rsidR="00315357">
        <w:t xml:space="preserve"> the </w:t>
      </w:r>
      <w:r w:rsidR="002A53D2">
        <w:t>Issuer</w:t>
      </w:r>
      <w:r w:rsidR="007545DB">
        <w:t xml:space="preserve"> or </w:t>
      </w:r>
      <w:r w:rsidR="007545DB" w:rsidRPr="007545DB">
        <w:t>the Offeror</w:t>
      </w:r>
      <w:r>
        <w:t>.</w:t>
      </w:r>
      <w:r w:rsidR="00C11771">
        <w:t xml:space="preserve"> </w:t>
      </w:r>
    </w:p>
    <w:p w14:paraId="489B99B1" w14:textId="22C9C49A" w:rsidR="00623A81" w:rsidRPr="00290B22" w:rsidRDefault="00623A81" w:rsidP="00623A81">
      <w:pPr>
        <w:pStyle w:val="Body"/>
        <w:jc w:val="left"/>
        <w:rPr>
          <w:b/>
          <w:bCs/>
        </w:rPr>
      </w:pPr>
      <w:r w:rsidRPr="00A407EB">
        <w:rPr>
          <w:b/>
          <w:bCs/>
        </w:rPr>
        <w:t>Contact Details</w:t>
      </w:r>
      <w:r w:rsidRPr="00290B22">
        <w:rPr>
          <w:b/>
          <w:bCs/>
        </w:rPr>
        <w:t>:</w:t>
      </w:r>
    </w:p>
    <w:p w14:paraId="1463F48B" w14:textId="6775EF6A" w:rsidR="00623A81" w:rsidRPr="00EE23DA" w:rsidRDefault="00623A81" w:rsidP="00623A81">
      <w:pPr>
        <w:pStyle w:val="Body"/>
        <w:rPr>
          <w:b/>
          <w:spacing w:val="3"/>
        </w:rPr>
      </w:pPr>
      <w:r w:rsidRPr="00EE23DA">
        <w:rPr>
          <w:b/>
          <w:spacing w:val="3"/>
        </w:rPr>
        <w:t xml:space="preserve">THE </w:t>
      </w:r>
      <w:r w:rsidR="00F71FC5">
        <w:rPr>
          <w:b/>
          <w:spacing w:val="3"/>
        </w:rPr>
        <w:t>TENDER AND TABULATION</w:t>
      </w:r>
      <w:r w:rsidRPr="00EE23DA">
        <w:rPr>
          <w:b/>
          <w:spacing w:val="3"/>
        </w:rPr>
        <w:t xml:space="preserve"> AGENT</w:t>
      </w:r>
    </w:p>
    <w:p w14:paraId="2CF89D28" w14:textId="77777777" w:rsidR="00B125BD" w:rsidRPr="00B125BD" w:rsidRDefault="00B125BD" w:rsidP="00951700">
      <w:pPr>
        <w:pStyle w:val="Body"/>
        <w:spacing w:after="0"/>
        <w:jc w:val="left"/>
        <w:rPr>
          <w:b/>
          <w:iCs/>
          <w:spacing w:val="3"/>
          <w:lang w:val="en-US"/>
        </w:rPr>
      </w:pPr>
      <w:r w:rsidRPr="00B125BD">
        <w:rPr>
          <w:b/>
          <w:iCs/>
          <w:spacing w:val="3"/>
          <w:lang w:val="en-US"/>
        </w:rPr>
        <w:t>GLAS Specialist Services Limited</w:t>
      </w:r>
    </w:p>
    <w:p w14:paraId="51B93506" w14:textId="6A893664" w:rsidR="00951700" w:rsidRPr="00951700" w:rsidRDefault="00951700" w:rsidP="00951700">
      <w:pPr>
        <w:pStyle w:val="Body"/>
        <w:spacing w:after="0"/>
        <w:jc w:val="left"/>
        <w:rPr>
          <w:bCs/>
          <w:iCs/>
          <w:spacing w:val="3"/>
          <w:lang w:val="en-US"/>
        </w:rPr>
      </w:pPr>
      <w:r w:rsidRPr="00951700">
        <w:rPr>
          <w:bCs/>
          <w:iCs/>
          <w:spacing w:val="3"/>
          <w:lang w:val="en-US"/>
        </w:rPr>
        <w:t>Telephone: +44 (0) 20 3597 2940</w:t>
      </w:r>
    </w:p>
    <w:p w14:paraId="493412A0" w14:textId="7FB2696A" w:rsidR="00951700" w:rsidRPr="00951700" w:rsidRDefault="00951700" w:rsidP="00951700">
      <w:pPr>
        <w:pStyle w:val="Body"/>
        <w:spacing w:after="0"/>
        <w:jc w:val="left"/>
        <w:rPr>
          <w:bCs/>
          <w:iCs/>
          <w:spacing w:val="3"/>
          <w:lang w:val="en-US"/>
        </w:rPr>
      </w:pPr>
      <w:r w:rsidRPr="00951700">
        <w:rPr>
          <w:bCs/>
          <w:iCs/>
          <w:spacing w:val="3"/>
          <w:lang w:val="en-US"/>
        </w:rPr>
        <w:t xml:space="preserve">Attention: </w:t>
      </w:r>
      <w:r w:rsidR="00E066BF" w:rsidRPr="00E066BF">
        <w:rPr>
          <w:bCs/>
          <w:iCs/>
          <w:spacing w:val="3"/>
          <w:lang w:val="en-US"/>
        </w:rPr>
        <w:t>DCM Liability Management – DTEK Tender and Consent</w:t>
      </w:r>
    </w:p>
    <w:p w14:paraId="115C11D9" w14:textId="09394650" w:rsidR="00951700" w:rsidRDefault="00951700" w:rsidP="00951700">
      <w:pPr>
        <w:pStyle w:val="Body"/>
        <w:spacing w:after="0"/>
        <w:rPr>
          <w:bCs/>
          <w:iCs/>
          <w:spacing w:val="3"/>
          <w:lang w:val="en-US"/>
        </w:rPr>
      </w:pPr>
      <w:r w:rsidRPr="00951700">
        <w:rPr>
          <w:bCs/>
          <w:iCs/>
          <w:spacing w:val="3"/>
          <w:lang w:val="en-US"/>
        </w:rPr>
        <w:t xml:space="preserve">Email: </w:t>
      </w:r>
      <w:hyperlink r:id="rId8" w:history="1">
        <w:r w:rsidRPr="00B125BD">
          <w:rPr>
            <w:rStyle w:val="Hyperlink"/>
            <w:bCs/>
            <w:iCs/>
            <w:color w:val="auto"/>
            <w:spacing w:val="3"/>
            <w:lang w:val="en-US"/>
          </w:rPr>
          <w:t>lm@glas.agency</w:t>
        </w:r>
      </w:hyperlink>
    </w:p>
    <w:p w14:paraId="4DAC173A" w14:textId="5C70A047" w:rsidR="00623A81" w:rsidRDefault="00951700" w:rsidP="002C642D">
      <w:pPr>
        <w:pStyle w:val="Body"/>
        <w:rPr>
          <w:b/>
          <w:spacing w:val="3"/>
        </w:rPr>
      </w:pPr>
      <w:r w:rsidRPr="00951700">
        <w:rPr>
          <w:bCs/>
          <w:iCs/>
          <w:spacing w:val="3"/>
          <w:lang w:val="en-US"/>
        </w:rPr>
        <w:br/>
      </w:r>
      <w:r w:rsidR="00623A81" w:rsidRPr="00EE23DA">
        <w:rPr>
          <w:b/>
          <w:spacing w:val="3"/>
        </w:rPr>
        <w:t xml:space="preserve">THE </w:t>
      </w:r>
      <w:r>
        <w:rPr>
          <w:b/>
          <w:spacing w:val="3"/>
        </w:rPr>
        <w:t>ISSUER</w:t>
      </w:r>
    </w:p>
    <w:p w14:paraId="7EDA74EB" w14:textId="77777777" w:rsidR="00162EBE" w:rsidRPr="00162EBE" w:rsidRDefault="00162EBE" w:rsidP="00162EBE">
      <w:pPr>
        <w:pStyle w:val="Body"/>
        <w:spacing w:after="0" w:line="240" w:lineRule="auto"/>
        <w:rPr>
          <w:b/>
          <w:spacing w:val="3"/>
        </w:rPr>
      </w:pPr>
      <w:r w:rsidRPr="00162EBE">
        <w:rPr>
          <w:b/>
          <w:spacing w:val="3"/>
        </w:rPr>
        <w:t>DTEK Energy B.V.</w:t>
      </w:r>
    </w:p>
    <w:p w14:paraId="1DC45C8D" w14:textId="77777777" w:rsidR="00162EBE" w:rsidRPr="00162EBE" w:rsidRDefault="00162EBE" w:rsidP="00162EBE">
      <w:pPr>
        <w:pStyle w:val="Body"/>
        <w:spacing w:after="0" w:line="240" w:lineRule="auto"/>
        <w:rPr>
          <w:bCs/>
          <w:spacing w:val="3"/>
        </w:rPr>
      </w:pPr>
      <w:r w:rsidRPr="00162EBE">
        <w:rPr>
          <w:bCs/>
          <w:spacing w:val="3"/>
        </w:rPr>
        <w:t>Strawinskylaan 1531, Tower B, Level 15, grid TB-15-046/089</w:t>
      </w:r>
    </w:p>
    <w:p w14:paraId="5A9FCF05" w14:textId="73891B4F" w:rsidR="00162EBE" w:rsidRDefault="00162EBE" w:rsidP="00162EBE">
      <w:pPr>
        <w:pStyle w:val="Body"/>
        <w:spacing w:after="0" w:line="240" w:lineRule="auto"/>
        <w:jc w:val="left"/>
        <w:rPr>
          <w:bCs/>
          <w:spacing w:val="3"/>
        </w:rPr>
      </w:pPr>
      <w:r w:rsidRPr="00162EBE">
        <w:rPr>
          <w:bCs/>
          <w:spacing w:val="3"/>
        </w:rPr>
        <w:t>1077XX, Amsterdam, the Netherlands</w:t>
      </w:r>
    </w:p>
    <w:p w14:paraId="36972BCA" w14:textId="4E5E1995" w:rsidR="004240CF" w:rsidRPr="00951700" w:rsidRDefault="004240CF" w:rsidP="004240CF">
      <w:pPr>
        <w:pStyle w:val="Body"/>
        <w:spacing w:after="0"/>
        <w:jc w:val="left"/>
        <w:rPr>
          <w:bCs/>
          <w:iCs/>
          <w:spacing w:val="3"/>
          <w:lang w:val="en-US"/>
        </w:rPr>
      </w:pPr>
      <w:r w:rsidRPr="00951700">
        <w:rPr>
          <w:bCs/>
          <w:iCs/>
          <w:spacing w:val="3"/>
          <w:lang w:val="en-US"/>
        </w:rPr>
        <w:t xml:space="preserve">Telephone: +44 (0) 20 </w:t>
      </w:r>
      <w:r>
        <w:rPr>
          <w:bCs/>
          <w:iCs/>
          <w:spacing w:val="3"/>
          <w:lang w:val="en-US"/>
        </w:rPr>
        <w:t xml:space="preserve">3980 65 85 </w:t>
      </w:r>
    </w:p>
    <w:p w14:paraId="07E8B5FE" w14:textId="059A8248" w:rsidR="007545DB" w:rsidRDefault="007545DB" w:rsidP="00162EBE">
      <w:pPr>
        <w:pStyle w:val="Body"/>
        <w:spacing w:after="0" w:line="240" w:lineRule="auto"/>
        <w:jc w:val="left"/>
        <w:rPr>
          <w:bCs/>
          <w:spacing w:val="3"/>
        </w:rPr>
      </w:pPr>
    </w:p>
    <w:p w14:paraId="6454E13B" w14:textId="77777777" w:rsidR="007545DB" w:rsidRDefault="007545DB" w:rsidP="007545DB">
      <w:pPr>
        <w:pStyle w:val="Body"/>
        <w:spacing w:after="0" w:line="240" w:lineRule="auto"/>
        <w:jc w:val="left"/>
        <w:rPr>
          <w:b/>
          <w:spacing w:val="3"/>
        </w:rPr>
      </w:pPr>
      <w:r>
        <w:rPr>
          <w:b/>
          <w:spacing w:val="3"/>
        </w:rPr>
        <w:t>THE OFFEROR</w:t>
      </w:r>
    </w:p>
    <w:p w14:paraId="27517CA9" w14:textId="77777777" w:rsidR="007545DB" w:rsidRPr="00162EBE" w:rsidRDefault="007545DB" w:rsidP="007545DB">
      <w:pPr>
        <w:pStyle w:val="Body"/>
        <w:spacing w:after="0" w:line="240" w:lineRule="auto"/>
        <w:jc w:val="left"/>
        <w:rPr>
          <w:b/>
          <w:spacing w:val="3"/>
        </w:rPr>
      </w:pPr>
      <w:r>
        <w:rPr>
          <w:b/>
          <w:spacing w:val="3"/>
        </w:rPr>
        <w:t xml:space="preserve"> </w:t>
      </w:r>
    </w:p>
    <w:p w14:paraId="7C282C45" w14:textId="77777777" w:rsidR="007545DB" w:rsidRDefault="007545DB" w:rsidP="007545DB">
      <w:pPr>
        <w:spacing w:line="276" w:lineRule="auto"/>
        <w:rPr>
          <w:b/>
          <w:bCs/>
          <w:spacing w:val="3"/>
          <w:kern w:val="20"/>
        </w:rPr>
      </w:pPr>
      <w:r>
        <w:rPr>
          <w:b/>
          <w:bCs/>
          <w:spacing w:val="3"/>
          <w:kern w:val="20"/>
        </w:rPr>
        <w:t>DTEK Holdings Limited</w:t>
      </w:r>
    </w:p>
    <w:p w14:paraId="2C373AD8" w14:textId="77777777" w:rsidR="007545DB" w:rsidRPr="00425F1B" w:rsidRDefault="007545DB" w:rsidP="007545DB">
      <w:pPr>
        <w:spacing w:line="276" w:lineRule="auto"/>
        <w:jc w:val="both"/>
        <w:rPr>
          <w:spacing w:val="3"/>
          <w:kern w:val="20"/>
        </w:rPr>
      </w:pPr>
      <w:r w:rsidRPr="00425F1B">
        <w:rPr>
          <w:spacing w:val="3"/>
          <w:kern w:val="20"/>
        </w:rPr>
        <w:t xml:space="preserve">Themistokli Dervi, 3, Julia House </w:t>
      </w:r>
    </w:p>
    <w:p w14:paraId="7FE91B44" w14:textId="4A9CC590" w:rsidR="005C3E93" w:rsidRDefault="007545DB" w:rsidP="00B80BEC">
      <w:pPr>
        <w:spacing w:line="276" w:lineRule="auto"/>
        <w:jc w:val="both"/>
        <w:rPr>
          <w:rFonts w:eastAsiaTheme="majorEastAsia" w:cstheme="majorBidi"/>
          <w:b/>
          <w:bCs/>
          <w:color w:val="000000" w:themeColor="text1"/>
          <w:spacing w:val="3"/>
          <w:kern w:val="20"/>
          <w:szCs w:val="26"/>
        </w:rPr>
      </w:pPr>
      <w:r w:rsidRPr="00425F1B">
        <w:rPr>
          <w:spacing w:val="3"/>
          <w:kern w:val="20"/>
        </w:rPr>
        <w:t>1066 Nicosia, Cyprus</w:t>
      </w:r>
      <w:r w:rsidRPr="00425F1B">
        <w:rPr>
          <w:rFonts w:eastAsiaTheme="majorEastAsia" w:cstheme="majorBidi"/>
          <w:b/>
          <w:bCs/>
          <w:color w:val="000000" w:themeColor="text1"/>
          <w:spacing w:val="3"/>
          <w:kern w:val="20"/>
          <w:szCs w:val="26"/>
        </w:rPr>
        <w:t xml:space="preserve"> </w:t>
      </w:r>
    </w:p>
    <w:p w14:paraId="7B541387" w14:textId="77777777" w:rsidR="00B80BEC" w:rsidRPr="00B80BEC" w:rsidRDefault="00B80BEC" w:rsidP="00B80BEC">
      <w:pPr>
        <w:spacing w:line="276" w:lineRule="auto"/>
        <w:jc w:val="both"/>
        <w:rPr>
          <w:rFonts w:eastAsiaTheme="majorEastAsia" w:cstheme="majorBidi"/>
          <w:b/>
          <w:bCs/>
          <w:color w:val="000000" w:themeColor="text1"/>
          <w:spacing w:val="3"/>
          <w:kern w:val="20"/>
          <w:szCs w:val="26"/>
        </w:rPr>
      </w:pPr>
    </w:p>
    <w:p w14:paraId="36AA83C1" w14:textId="77777777" w:rsidR="004B4B78" w:rsidRDefault="004B4B78" w:rsidP="007545DB">
      <w:pPr>
        <w:spacing w:after="200" w:line="276" w:lineRule="auto"/>
        <w:jc w:val="both"/>
        <w:rPr>
          <w:rFonts w:asciiTheme="minorHAnsi" w:eastAsiaTheme="majorEastAsia" w:hAnsiTheme="minorHAnsi" w:cstheme="minorHAnsi"/>
          <w:b/>
          <w:bCs/>
          <w:color w:val="000000" w:themeColor="text1"/>
          <w:szCs w:val="26"/>
        </w:rPr>
      </w:pPr>
    </w:p>
    <w:p w14:paraId="3553EF6C" w14:textId="77777777" w:rsidR="004B4B78" w:rsidRDefault="004B4B78" w:rsidP="007545DB">
      <w:pPr>
        <w:spacing w:after="200" w:line="276" w:lineRule="auto"/>
        <w:jc w:val="both"/>
        <w:rPr>
          <w:rFonts w:asciiTheme="minorHAnsi" w:eastAsiaTheme="majorEastAsia" w:hAnsiTheme="minorHAnsi" w:cstheme="minorHAnsi"/>
          <w:b/>
          <w:bCs/>
          <w:color w:val="000000" w:themeColor="text1"/>
          <w:szCs w:val="26"/>
        </w:rPr>
      </w:pPr>
    </w:p>
    <w:p w14:paraId="01EFE891" w14:textId="468D49C5"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DISCLAIMER</w:t>
      </w:r>
    </w:p>
    <w:p w14:paraId="6BB9BDF1"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This announcement must be read in conjunction with the Tender Offer and Consent Solicitation Memorandum. No offer or invitation to acquire or exchange any securities is being made pursuant to this announcement. This announcement and the Tender Offer and Consent Solicitation Memorandum contain important information, which must be read carefully before any decision is made with respect to the Tender Offer and Consent Solicitation.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Tender Offer or Consent Solicitation. None of the Offeror, the Issuer, the Tender and Tabulation Agent, the Trustee or their respective directors, employees or affiliates makes any recommendation as to whether Noteholders should tender their Notes or otherwise participate in the Consent Solicitation and none of the Offeror, the Issuer, the Tender and Tabulation Agent or the Trustee will have any liability or responsibility in respect thereto. </w:t>
      </w:r>
    </w:p>
    <w:p w14:paraId="4FB8BA64" w14:textId="38A2C07B"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This announcement is released by </w:t>
      </w:r>
      <w:r w:rsidR="001D3BFA" w:rsidRPr="001D3BFA">
        <w:rPr>
          <w:rFonts w:asciiTheme="minorHAnsi" w:eastAsiaTheme="majorEastAsia" w:hAnsiTheme="minorHAnsi" w:cstheme="minorHAnsi"/>
          <w:color w:val="000000" w:themeColor="text1"/>
          <w:szCs w:val="26"/>
        </w:rPr>
        <w:t xml:space="preserve">the Offeror </w:t>
      </w:r>
      <w:r w:rsidR="001D3BFA">
        <w:rPr>
          <w:rFonts w:asciiTheme="minorHAnsi" w:eastAsiaTheme="majorEastAsia" w:hAnsiTheme="minorHAnsi" w:cstheme="minorHAnsi"/>
          <w:color w:val="000000" w:themeColor="text1"/>
          <w:szCs w:val="26"/>
        </w:rPr>
        <w:t xml:space="preserve">and </w:t>
      </w:r>
      <w:r w:rsidRPr="007545DB">
        <w:rPr>
          <w:rFonts w:asciiTheme="minorHAnsi" w:eastAsiaTheme="majorEastAsia" w:hAnsiTheme="minorHAnsi" w:cstheme="minorHAnsi"/>
          <w:color w:val="000000" w:themeColor="text1"/>
          <w:szCs w:val="26"/>
        </w:rPr>
        <w:t>the Issuer and contains information that qualified or may have qualified as inside information for the purposes of Article 7 of the Market Abuse Regulation (EU) 596/2014 (“</w:t>
      </w:r>
      <w:r w:rsidRPr="007545DB">
        <w:rPr>
          <w:rFonts w:asciiTheme="minorHAnsi" w:eastAsiaTheme="majorEastAsia" w:hAnsiTheme="minorHAnsi" w:cstheme="minorHAnsi"/>
          <w:b/>
          <w:bCs/>
          <w:color w:val="000000" w:themeColor="text1"/>
          <w:szCs w:val="26"/>
        </w:rPr>
        <w:t>MAR</w:t>
      </w:r>
      <w:r w:rsidRPr="007545DB">
        <w:rPr>
          <w:rFonts w:asciiTheme="minorHAnsi" w:eastAsiaTheme="majorEastAsia" w:hAnsiTheme="minorHAnsi" w:cstheme="minorHAnsi"/>
          <w:color w:val="000000" w:themeColor="text1"/>
          <w:szCs w:val="26"/>
        </w:rPr>
        <w:t xml:space="preserve">”), encompassing information relating to the </w:t>
      </w:r>
      <w:r w:rsidR="00BD3094" w:rsidRPr="00BD3094">
        <w:rPr>
          <w:rFonts w:asciiTheme="minorHAnsi" w:eastAsiaTheme="majorEastAsia" w:hAnsiTheme="minorHAnsi" w:cstheme="minorHAnsi"/>
          <w:color w:val="000000" w:themeColor="text1"/>
          <w:szCs w:val="26"/>
        </w:rPr>
        <w:t xml:space="preserve">Tender Offer </w:t>
      </w:r>
      <w:r w:rsidR="00BD3094">
        <w:rPr>
          <w:rFonts w:asciiTheme="minorHAnsi" w:eastAsiaTheme="majorEastAsia" w:hAnsiTheme="minorHAnsi" w:cstheme="minorHAnsi"/>
          <w:color w:val="000000" w:themeColor="text1"/>
          <w:szCs w:val="26"/>
        </w:rPr>
        <w:t xml:space="preserve">and </w:t>
      </w:r>
      <w:r w:rsidRPr="007545DB">
        <w:rPr>
          <w:rFonts w:asciiTheme="minorHAnsi" w:eastAsiaTheme="majorEastAsia" w:hAnsiTheme="minorHAnsi" w:cstheme="minorHAnsi"/>
          <w:color w:val="000000" w:themeColor="text1"/>
          <w:szCs w:val="26"/>
        </w:rPr>
        <w:t xml:space="preserve">Consent Solicitation described above. For the purposes of MAR and Article 2 of Commission Implementing Regulation (EU) 2016/1055, this announcement is made by the Directors of </w:t>
      </w:r>
      <w:r w:rsidR="001D3BFA" w:rsidRPr="001D3BFA">
        <w:rPr>
          <w:rFonts w:asciiTheme="minorHAnsi" w:eastAsiaTheme="majorEastAsia" w:hAnsiTheme="minorHAnsi" w:cstheme="minorHAnsi"/>
          <w:color w:val="000000" w:themeColor="text1"/>
          <w:szCs w:val="26"/>
        </w:rPr>
        <w:t xml:space="preserve">the Offeror </w:t>
      </w:r>
      <w:r w:rsidR="001D3BFA">
        <w:rPr>
          <w:rFonts w:asciiTheme="minorHAnsi" w:eastAsiaTheme="majorEastAsia" w:hAnsiTheme="minorHAnsi" w:cstheme="minorHAnsi"/>
          <w:color w:val="000000" w:themeColor="text1"/>
          <w:szCs w:val="26"/>
        </w:rPr>
        <w:t xml:space="preserve">and </w:t>
      </w:r>
      <w:r w:rsidRPr="007545DB">
        <w:rPr>
          <w:rFonts w:asciiTheme="minorHAnsi" w:eastAsiaTheme="majorEastAsia" w:hAnsiTheme="minorHAnsi" w:cstheme="minorHAnsi"/>
          <w:color w:val="000000" w:themeColor="text1"/>
          <w:szCs w:val="26"/>
        </w:rPr>
        <w:t>the Issuer.</w:t>
      </w:r>
    </w:p>
    <w:p w14:paraId="57B72F9E" w14:textId="6313DBF3"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Offer, Solicitation and Distribution Restrictions</w:t>
      </w:r>
    </w:p>
    <w:p w14:paraId="29AA9A3D" w14:textId="77777777"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European Economic Area</w:t>
      </w:r>
    </w:p>
    <w:p w14:paraId="10EBE7D6"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In any member state of the European Economic Area (a “</w:t>
      </w:r>
      <w:r w:rsidRPr="006F3021">
        <w:rPr>
          <w:rFonts w:asciiTheme="minorHAnsi" w:eastAsiaTheme="majorEastAsia" w:hAnsiTheme="minorHAnsi" w:cstheme="minorHAnsi"/>
          <w:b/>
          <w:bCs/>
          <w:color w:val="000000" w:themeColor="text1"/>
          <w:szCs w:val="26"/>
        </w:rPr>
        <w:t>EEA Member State</w:t>
      </w:r>
      <w:r w:rsidRPr="007545DB">
        <w:rPr>
          <w:rFonts w:asciiTheme="minorHAnsi" w:eastAsiaTheme="majorEastAsia" w:hAnsiTheme="minorHAnsi" w:cstheme="minorHAnsi"/>
          <w:color w:val="000000" w:themeColor="text1"/>
          <w:szCs w:val="26"/>
        </w:rPr>
        <w:t>”), this announcement is only addressed to and is only directed at qualified investors within the meaning of Article 2(e) of Regulation (EU) 2017/1129, as amended in that EEA Member State.</w:t>
      </w:r>
    </w:p>
    <w:p w14:paraId="4529AFC5" w14:textId="77777777"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Italy</w:t>
      </w:r>
    </w:p>
    <w:p w14:paraId="6B48E6CA"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Neither this announcement nor any other documents or materials relating to the Tender Offer or the Consent Solicitation have been or will be submitted to the clearance procedure of the </w:t>
      </w:r>
      <w:r w:rsidRPr="006F3021">
        <w:rPr>
          <w:rFonts w:asciiTheme="minorHAnsi" w:eastAsiaTheme="majorEastAsia" w:hAnsiTheme="minorHAnsi" w:cstheme="minorHAnsi"/>
          <w:i/>
          <w:iCs/>
          <w:color w:val="000000" w:themeColor="text1"/>
          <w:szCs w:val="26"/>
        </w:rPr>
        <w:t>Commissione Nazionale per le Società e la Borsa</w:t>
      </w:r>
      <w:r w:rsidRPr="007545DB">
        <w:rPr>
          <w:rFonts w:asciiTheme="minorHAnsi" w:eastAsiaTheme="majorEastAsia" w:hAnsiTheme="minorHAnsi" w:cstheme="minorHAnsi"/>
          <w:color w:val="000000" w:themeColor="text1"/>
          <w:szCs w:val="26"/>
        </w:rPr>
        <w:t xml:space="preserve"> (CONSOB) pursuant to Italian laws and regulations. </w:t>
      </w:r>
    </w:p>
    <w:p w14:paraId="66CAC57F"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The Tender Offer and the Consent Solicitation are being carried out in the Republic of Italy as an exempted offer pursuant to article 101-bis, paragraph 3-bis of the Legislative Decree No. 58 of 24 February 1998, as amended (the “</w:t>
      </w:r>
      <w:r w:rsidRPr="006F3021">
        <w:rPr>
          <w:rFonts w:asciiTheme="minorHAnsi" w:eastAsiaTheme="majorEastAsia" w:hAnsiTheme="minorHAnsi" w:cstheme="minorHAnsi"/>
          <w:b/>
          <w:bCs/>
          <w:color w:val="000000" w:themeColor="text1"/>
          <w:szCs w:val="26"/>
        </w:rPr>
        <w:t>Financial Services Act</w:t>
      </w:r>
      <w:r w:rsidRPr="007545DB">
        <w:rPr>
          <w:rFonts w:asciiTheme="minorHAnsi" w:eastAsiaTheme="majorEastAsia" w:hAnsiTheme="minorHAnsi" w:cstheme="minorHAnsi"/>
          <w:color w:val="000000" w:themeColor="text1"/>
          <w:szCs w:val="26"/>
        </w:rPr>
        <w:t>”) and article 35-bis, paragraph 4 of CONSOB Regulation No. 11971 of 14 May 1999, as amended (the “</w:t>
      </w:r>
      <w:r w:rsidRPr="006F3021">
        <w:rPr>
          <w:rFonts w:asciiTheme="minorHAnsi" w:eastAsiaTheme="majorEastAsia" w:hAnsiTheme="minorHAnsi" w:cstheme="minorHAnsi"/>
          <w:b/>
          <w:bCs/>
          <w:color w:val="000000" w:themeColor="text1"/>
          <w:szCs w:val="26"/>
        </w:rPr>
        <w:t>Issuers’ Regulation</w:t>
      </w:r>
      <w:r w:rsidRPr="007545DB">
        <w:rPr>
          <w:rFonts w:asciiTheme="minorHAnsi" w:eastAsiaTheme="majorEastAsia" w:hAnsiTheme="minorHAnsi" w:cstheme="minorHAnsi"/>
          <w:color w:val="000000" w:themeColor="text1"/>
          <w:szCs w:val="26"/>
        </w:rPr>
        <w:t xml:space="preserve">”). The Tender Offer and the Consent Solicitation are also being carried out in compliance with article 35-bis, paragraph 7 of the Issuers’ Regulation. </w:t>
      </w:r>
    </w:p>
    <w:p w14:paraId="0C078B8E"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A holder of Notes located in the Republic of Italy can tender Notes or provide Consents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w:t>
      </w:r>
      <w:r w:rsidRPr="007545DB">
        <w:rPr>
          <w:rFonts w:asciiTheme="minorHAnsi" w:eastAsiaTheme="majorEastAsia" w:hAnsiTheme="minorHAnsi" w:cstheme="minorHAnsi"/>
          <w:color w:val="000000" w:themeColor="text1"/>
          <w:szCs w:val="26"/>
        </w:rPr>
        <w:lastRenderedPageBreak/>
        <w:t>No. 385 of 1 September 1993, as amended) and in compliance with applicable laws and regulations or with requirements imposed by CONSOB or any other Italian authority.</w:t>
      </w:r>
    </w:p>
    <w:p w14:paraId="18818813"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Each intermediary must comply with the applicable laws and regulations concerning information duties vis-à-vis its clients in connection with the Notes, the Tender Offer and the Consent Solicitation.</w:t>
      </w:r>
    </w:p>
    <w:p w14:paraId="3C4E114D" w14:textId="77777777"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United Kingdom</w:t>
      </w:r>
    </w:p>
    <w:p w14:paraId="19FA8CFE" w14:textId="60A7680C"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The communication of this announcement by </w:t>
      </w:r>
      <w:r w:rsidR="001D3BFA" w:rsidRPr="001D3BFA">
        <w:rPr>
          <w:rFonts w:asciiTheme="minorHAnsi" w:eastAsiaTheme="majorEastAsia" w:hAnsiTheme="minorHAnsi" w:cstheme="minorHAnsi"/>
          <w:color w:val="000000" w:themeColor="text1"/>
          <w:szCs w:val="26"/>
        </w:rPr>
        <w:t xml:space="preserve">the Offeror </w:t>
      </w:r>
      <w:r w:rsidR="001D3BFA">
        <w:rPr>
          <w:rFonts w:asciiTheme="minorHAnsi" w:eastAsiaTheme="majorEastAsia" w:hAnsiTheme="minorHAnsi" w:cstheme="minorHAnsi"/>
          <w:color w:val="000000" w:themeColor="text1"/>
          <w:szCs w:val="26"/>
        </w:rPr>
        <w:t xml:space="preserve">and </w:t>
      </w:r>
      <w:r w:rsidRPr="007545DB">
        <w:rPr>
          <w:rFonts w:asciiTheme="minorHAnsi" w:eastAsiaTheme="majorEastAsia" w:hAnsiTheme="minorHAnsi" w:cstheme="minorHAnsi"/>
          <w:color w:val="000000" w:themeColor="text1"/>
          <w:szCs w:val="26"/>
        </w:rPr>
        <w:t>the Issuer and any other documents or materials relating to the Tender Offer or the Consent Solicitation is not being made, and such documents and/or materials have not been approved, by an authorised person for the purposes of section 21 of the Financial Services and Markets Act 2000 (the “</w:t>
      </w:r>
      <w:r w:rsidRPr="006F3021">
        <w:rPr>
          <w:rFonts w:asciiTheme="minorHAnsi" w:eastAsiaTheme="majorEastAsia" w:hAnsiTheme="minorHAnsi" w:cstheme="minorHAnsi"/>
          <w:b/>
          <w:bCs/>
          <w:color w:val="000000" w:themeColor="text1"/>
          <w:szCs w:val="26"/>
        </w:rPr>
        <w:t>FSMA</w:t>
      </w:r>
      <w:r w:rsidRPr="007545DB">
        <w:rPr>
          <w:rFonts w:asciiTheme="minorHAnsi" w:eastAsiaTheme="majorEastAsia" w:hAnsiTheme="minorHAnsi" w:cstheme="minorHAnsi"/>
          <w:color w:val="000000" w:themeColor="text1"/>
          <w:szCs w:val="26"/>
        </w:rPr>
        <w:t>”).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(1) those persons who are existing members or creditors of the Offeror or the Issuer or other persons within Article 43 of the Financial Services and Markets Act 2000 (Financial Promotion) Order 2005, and (2) to any other persons to whom these documents and/or materials may lawfully be communicated.</w:t>
      </w:r>
    </w:p>
    <w:p w14:paraId="3BFFB3D5" w14:textId="77777777"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Ireland</w:t>
      </w:r>
    </w:p>
    <w:p w14:paraId="5BA2B7C3"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This announcement will only be distributed in Ireland in conformity with the provisions of the Companies Act 2014 (as amended), the Central Bank Acts 1942 – 2019 (as amended) and the European Union (Markets in Financial Instruments) Regulation 2017, including, without limitation, Regulation 5 thereof or any applicable provisions of Irish law.</w:t>
      </w:r>
    </w:p>
    <w:p w14:paraId="0C709553" w14:textId="77777777" w:rsidR="007545DB" w:rsidRPr="007545DB" w:rsidRDefault="007545DB" w:rsidP="007545DB">
      <w:pPr>
        <w:spacing w:after="200" w:line="276" w:lineRule="auto"/>
        <w:jc w:val="both"/>
        <w:rPr>
          <w:rFonts w:asciiTheme="minorHAnsi" w:eastAsiaTheme="majorEastAsia" w:hAnsiTheme="minorHAnsi" w:cstheme="minorHAnsi"/>
          <w:b/>
          <w:bCs/>
          <w:color w:val="000000" w:themeColor="text1"/>
          <w:szCs w:val="26"/>
        </w:rPr>
      </w:pPr>
      <w:r w:rsidRPr="007545DB">
        <w:rPr>
          <w:rFonts w:asciiTheme="minorHAnsi" w:eastAsiaTheme="majorEastAsia" w:hAnsiTheme="minorHAnsi" w:cstheme="minorHAnsi"/>
          <w:b/>
          <w:bCs/>
          <w:color w:val="000000" w:themeColor="text1"/>
          <w:szCs w:val="26"/>
        </w:rPr>
        <w:t>General</w:t>
      </w:r>
    </w:p>
    <w:p w14:paraId="561D50B1" w14:textId="77777777" w:rsidR="007545DB" w:rsidRPr="007545DB"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 xml:space="preserve">This announcement does not constitute an offer to sell or buy or the solicitation of an offer to sell or buy the Notes (and offers of Notes for sale pursuant to the Tender Offer will not be accepted from the Noteholders) in any circumstances in which such offer or solicitation is unlawful. </w:t>
      </w:r>
    </w:p>
    <w:p w14:paraId="65EE623F" w14:textId="3DAD7157" w:rsidR="00705A18" w:rsidRPr="00A81A2D" w:rsidRDefault="007545DB" w:rsidP="007545DB">
      <w:pPr>
        <w:spacing w:after="200" w:line="276" w:lineRule="auto"/>
        <w:jc w:val="both"/>
        <w:rPr>
          <w:rFonts w:asciiTheme="minorHAnsi" w:eastAsiaTheme="majorEastAsia" w:hAnsiTheme="minorHAnsi" w:cstheme="minorHAnsi"/>
          <w:color w:val="000000" w:themeColor="text1"/>
          <w:szCs w:val="26"/>
        </w:rPr>
      </w:pPr>
      <w:r w:rsidRPr="007545DB">
        <w:rPr>
          <w:rFonts w:asciiTheme="minorHAnsi" w:eastAsiaTheme="majorEastAsia" w:hAnsiTheme="minorHAnsi" w:cstheme="minorHAnsi"/>
          <w:color w:val="000000" w:themeColor="text1"/>
          <w:szCs w:val="26"/>
        </w:rPr>
        <w:t>Each Noteholder participating in the Tender Offer and/or the Consent Solicitation will be deemed to give certain representations in respect of the jurisdictions referred to above and generally as set out in “</w:t>
      </w:r>
      <w:r w:rsidRPr="006F3021">
        <w:rPr>
          <w:rFonts w:asciiTheme="minorHAnsi" w:eastAsiaTheme="majorEastAsia" w:hAnsiTheme="minorHAnsi" w:cstheme="minorHAnsi"/>
          <w:i/>
          <w:iCs/>
          <w:color w:val="000000" w:themeColor="text1"/>
          <w:szCs w:val="26"/>
        </w:rPr>
        <w:t>Procedures for Participating in the Tender Offer or the Consent Solicitation</w:t>
      </w:r>
      <w:r w:rsidRPr="007545DB">
        <w:rPr>
          <w:rFonts w:asciiTheme="minorHAnsi" w:eastAsiaTheme="majorEastAsia" w:hAnsiTheme="minorHAnsi" w:cstheme="minorHAnsi"/>
          <w:color w:val="000000" w:themeColor="text1"/>
          <w:szCs w:val="26"/>
        </w:rPr>
        <w:t>” in the Tender Offer and Consent Solicitation Memorandum. Any offer of Notes pursuant to the Tender Offer from a Noteholder that is unable to make these representations will not be accepted. Each of the Offeror and the Tender and Tabulation Agent reserves the right, in its absolute discretion, to investigate, in relation to the offer of Notes for sale pursuant to the Tender Offer, whether any such representation given by a Noteholder is correct and, if such investigation is undertaken and as a result the Offeror determines (for any reason) that such representation is not correct, such tender of Notes shall not be accepted. Any Consent submitted pursuant to the Consent Solicitation by a Noteholder that is unable to make these representations will not be accepted. Each of the Issuer and the Tender and Tabulation Agent reserves the right, in its sole and absolute discretion, to investigate, in relation to any Consent submitted pursuant to the Consent Solicitation, whether any such representation given by a Noteholder is correct and, if such investigation is undertaken and as a result the Issuer determines (for any reason) that such representation is not correct, such Consent shall not be accepted.</w:t>
      </w:r>
    </w:p>
    <w:sectPr w:rsidR="00705A18" w:rsidRPr="00A81A2D" w:rsidSect="00A7376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E04D" w14:textId="77777777" w:rsidR="00D275A6" w:rsidRDefault="00D275A6">
      <w:r>
        <w:separator/>
      </w:r>
    </w:p>
  </w:endnote>
  <w:endnote w:type="continuationSeparator" w:id="0">
    <w:p w14:paraId="6BF60C67" w14:textId="77777777" w:rsidR="00D275A6" w:rsidRDefault="00D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2FF3" w14:textId="18A390BD" w:rsidR="00421884" w:rsidRDefault="00A51012">
    <w:pPr>
      <w:pStyle w:val="Footer"/>
    </w:pPr>
    <w:r>
      <w:rPr>
        <w:noProof/>
      </w:rPr>
      <mc:AlternateContent>
        <mc:Choice Requires="wps">
          <w:drawing>
            <wp:anchor distT="0" distB="0" distL="0" distR="0" simplePos="0" relativeHeight="251659264" behindDoc="0" locked="0" layoutInCell="1" allowOverlap="1" wp14:anchorId="55F47049" wp14:editId="4E3255D0">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20990E" w14:textId="429C5220"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47049"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920990E" w14:textId="429C5220"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C423" w14:textId="7E87DEBF" w:rsidR="00C8074E" w:rsidRDefault="00A51012">
    <w:pPr>
      <w:pStyle w:val="DocExCode"/>
      <w:jc w:val="center"/>
    </w:pPr>
    <w:r>
      <w:rPr>
        <w:noProof/>
        <w:kern w:val="17"/>
        <w:sz w:val="20"/>
      </w:rPr>
      <mc:AlternateContent>
        <mc:Choice Requires="wps">
          <w:drawing>
            <wp:anchor distT="0" distB="0" distL="0" distR="0" simplePos="0" relativeHeight="251660288" behindDoc="0" locked="0" layoutInCell="1" allowOverlap="1" wp14:anchorId="3D79399A" wp14:editId="2CFAB01C">
              <wp:simplePos x="1009015" y="10222230"/>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2D926" w14:textId="208154E2"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9399A"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5F2D926" w14:textId="208154E2"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v:textbox>
              <w10:wrap anchorx="page" anchory="page"/>
            </v:shape>
          </w:pict>
        </mc:Fallback>
      </mc:AlternateContent>
    </w:r>
    <w:r w:rsidR="00C8074E">
      <w:rPr>
        <w:rStyle w:val="PageNumber"/>
        <w:kern w:val="17"/>
      </w:rPr>
      <w:fldChar w:fldCharType="begin"/>
    </w:r>
    <w:r w:rsidR="00C8074E">
      <w:rPr>
        <w:rStyle w:val="PageNumber"/>
        <w:kern w:val="17"/>
      </w:rPr>
      <w:instrText xml:space="preserve"> PAGE </w:instrText>
    </w:r>
    <w:r w:rsidR="00C8074E">
      <w:rPr>
        <w:rStyle w:val="PageNumber"/>
        <w:kern w:val="17"/>
      </w:rPr>
      <w:fldChar w:fldCharType="separate"/>
    </w:r>
    <w:r w:rsidR="00E15320">
      <w:rPr>
        <w:rStyle w:val="PageNumber"/>
        <w:noProof/>
        <w:kern w:val="17"/>
      </w:rPr>
      <w:t>1</w:t>
    </w:r>
    <w:r w:rsidR="00C8074E">
      <w:rPr>
        <w:rStyle w:val="PageNumber"/>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FC33" w14:textId="3CBF3A77" w:rsidR="00421884" w:rsidRDefault="00A51012">
    <w:pPr>
      <w:pStyle w:val="Footer"/>
    </w:pPr>
    <w:r>
      <w:rPr>
        <w:noProof/>
      </w:rPr>
      <mc:AlternateContent>
        <mc:Choice Requires="wps">
          <w:drawing>
            <wp:anchor distT="0" distB="0" distL="0" distR="0" simplePos="0" relativeHeight="251658240" behindDoc="0" locked="0" layoutInCell="1" allowOverlap="1" wp14:anchorId="0F32BA42" wp14:editId="57BE23C3">
              <wp:simplePos x="1009650" y="10096500"/>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278AEF" w14:textId="6909CC10"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2BA42"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5278AEF" w14:textId="6909CC10" w:rsidR="00A51012" w:rsidRPr="00A51012" w:rsidRDefault="00A51012" w:rsidP="00A51012">
                    <w:pPr>
                      <w:rPr>
                        <w:rFonts w:ascii="Calibri" w:eastAsia="Calibri" w:hAnsi="Calibri" w:cs="Calibri"/>
                        <w:noProof/>
                        <w:color w:val="000000"/>
                        <w:szCs w:val="20"/>
                      </w:rPr>
                    </w:pPr>
                    <w:r w:rsidRPr="00A51012">
                      <w:rPr>
                        <w:rFonts w:ascii="Calibri" w:eastAsia="Calibri" w:hAnsi="Calibri" w:cs="Calibri"/>
                        <w:noProof/>
                        <w:color w:val="00000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E57C" w14:textId="77777777" w:rsidR="00D275A6" w:rsidRDefault="00D275A6">
      <w:r>
        <w:separator/>
      </w:r>
    </w:p>
  </w:footnote>
  <w:footnote w:type="continuationSeparator" w:id="0">
    <w:p w14:paraId="34F9CDE7" w14:textId="77777777" w:rsidR="00D275A6" w:rsidRDefault="00D2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E0A5" w14:textId="77777777" w:rsidR="00421884" w:rsidRDefault="00421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4634" w14:textId="77777777" w:rsidR="00421884" w:rsidRDefault="00421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FF1E" w14:textId="77777777" w:rsidR="00421884" w:rsidRDefault="0042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15"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EB85EBB"/>
    <w:multiLevelType w:val="multilevel"/>
    <w:tmpl w:val="227EBBF0"/>
    <w:numStyleLink w:val="BodyStyle"/>
  </w:abstractNum>
  <w:abstractNum w:abstractNumId="21"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5F5CDD"/>
    <w:multiLevelType w:val="hybridMultilevel"/>
    <w:tmpl w:val="E89EAC3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47763"/>
    <w:multiLevelType w:val="multilevel"/>
    <w:tmpl w:val="50483CFA"/>
    <w:numStyleLink w:val="engage"/>
  </w:abstractNum>
  <w:abstractNum w:abstractNumId="26"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511E41BC"/>
    <w:multiLevelType w:val="hybridMultilevel"/>
    <w:tmpl w:val="E8B4F8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4"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6"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7"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5"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7"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48"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9"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9070311">
    <w:abstractNumId w:val="28"/>
  </w:num>
  <w:num w:numId="2" w16cid:durableId="1485319269">
    <w:abstractNumId w:val="45"/>
  </w:num>
  <w:num w:numId="3" w16cid:durableId="1533415586">
    <w:abstractNumId w:val="16"/>
  </w:num>
  <w:num w:numId="4" w16cid:durableId="154304359">
    <w:abstractNumId w:val="5"/>
  </w:num>
  <w:num w:numId="5" w16cid:durableId="934705680">
    <w:abstractNumId w:val="26"/>
  </w:num>
  <w:num w:numId="6" w16cid:durableId="74321015">
    <w:abstractNumId w:val="19"/>
  </w:num>
  <w:num w:numId="7" w16cid:durableId="1304502812">
    <w:abstractNumId w:val="6"/>
  </w:num>
  <w:num w:numId="8" w16cid:durableId="1143349180">
    <w:abstractNumId w:val="15"/>
  </w:num>
  <w:num w:numId="9" w16cid:durableId="1008362840">
    <w:abstractNumId w:val="11"/>
  </w:num>
  <w:num w:numId="10" w16cid:durableId="243224362">
    <w:abstractNumId w:val="34"/>
  </w:num>
  <w:num w:numId="11" w16cid:durableId="950091728">
    <w:abstractNumId w:val="49"/>
  </w:num>
  <w:num w:numId="12" w16cid:durableId="392312862">
    <w:abstractNumId w:val="7"/>
  </w:num>
  <w:num w:numId="13" w16cid:durableId="8682977">
    <w:abstractNumId w:val="21"/>
  </w:num>
  <w:num w:numId="14" w16cid:durableId="1808159227">
    <w:abstractNumId w:val="31"/>
  </w:num>
  <w:num w:numId="15" w16cid:durableId="1964000007">
    <w:abstractNumId w:val="24"/>
  </w:num>
  <w:num w:numId="16" w16cid:durableId="1183787577">
    <w:abstractNumId w:val="30"/>
  </w:num>
  <w:num w:numId="17" w16cid:durableId="2076272804">
    <w:abstractNumId w:val="29"/>
  </w:num>
  <w:num w:numId="18" w16cid:durableId="1294024503">
    <w:abstractNumId w:val="8"/>
  </w:num>
  <w:num w:numId="19" w16cid:durableId="885600294">
    <w:abstractNumId w:val="42"/>
  </w:num>
  <w:num w:numId="20" w16cid:durableId="740104133">
    <w:abstractNumId w:val="41"/>
  </w:num>
  <w:num w:numId="21" w16cid:durableId="1354920799">
    <w:abstractNumId w:val="50"/>
  </w:num>
  <w:num w:numId="22" w16cid:durableId="1383018375">
    <w:abstractNumId w:val="1"/>
  </w:num>
  <w:num w:numId="23" w16cid:durableId="2118593549">
    <w:abstractNumId w:val="37"/>
  </w:num>
  <w:num w:numId="24" w16cid:durableId="1702050198">
    <w:abstractNumId w:val="35"/>
  </w:num>
  <w:num w:numId="25" w16cid:durableId="1179000543">
    <w:abstractNumId w:val="48"/>
  </w:num>
  <w:num w:numId="26" w16cid:durableId="2070838639">
    <w:abstractNumId w:val="38"/>
  </w:num>
  <w:num w:numId="27" w16cid:durableId="296379108">
    <w:abstractNumId w:val="33"/>
  </w:num>
  <w:num w:numId="28" w16cid:durableId="1611933355">
    <w:abstractNumId w:val="46"/>
  </w:num>
  <w:num w:numId="29" w16cid:durableId="2007971613">
    <w:abstractNumId w:val="44"/>
  </w:num>
  <w:num w:numId="30" w16cid:durableId="1615670946">
    <w:abstractNumId w:val="18"/>
  </w:num>
  <w:num w:numId="31" w16cid:durableId="2052730194">
    <w:abstractNumId w:val="4"/>
  </w:num>
  <w:num w:numId="32" w16cid:durableId="758916412">
    <w:abstractNumId w:val="13"/>
  </w:num>
  <w:num w:numId="33" w16cid:durableId="269051273">
    <w:abstractNumId w:val="2"/>
  </w:num>
  <w:num w:numId="34" w16cid:durableId="406849634">
    <w:abstractNumId w:val="39"/>
  </w:num>
  <w:num w:numId="35" w16cid:durableId="327557395">
    <w:abstractNumId w:val="0"/>
  </w:num>
  <w:num w:numId="36" w16cid:durableId="1853521495">
    <w:abstractNumId w:val="17"/>
  </w:num>
  <w:num w:numId="37" w16cid:durableId="626745491">
    <w:abstractNumId w:val="40"/>
  </w:num>
  <w:num w:numId="38" w16cid:durableId="1206219055">
    <w:abstractNumId w:val="10"/>
  </w:num>
  <w:num w:numId="39" w16cid:durableId="1253860332">
    <w:abstractNumId w:val="23"/>
  </w:num>
  <w:num w:numId="40" w16cid:durableId="1336957393">
    <w:abstractNumId w:val="43"/>
  </w:num>
  <w:num w:numId="41" w16cid:durableId="1192036679">
    <w:abstractNumId w:val="9"/>
  </w:num>
  <w:num w:numId="42" w16cid:durableId="816000176">
    <w:abstractNumId w:val="32"/>
  </w:num>
  <w:num w:numId="43" w16cid:durableId="820929624">
    <w:abstractNumId w:val="36"/>
  </w:num>
  <w:num w:numId="44" w16cid:durableId="1135946161">
    <w:abstractNumId w:val="3"/>
  </w:num>
  <w:num w:numId="45" w16cid:durableId="745810147">
    <w:abstractNumId w:val="12"/>
  </w:num>
  <w:num w:numId="46" w16cid:durableId="301732544">
    <w:abstractNumId w:val="25"/>
  </w:num>
  <w:num w:numId="47" w16cid:durableId="964962886">
    <w:abstractNumId w:val="47"/>
  </w:num>
  <w:num w:numId="48" w16cid:durableId="1854683653">
    <w:abstractNumId w:val="20"/>
  </w:num>
  <w:num w:numId="49" w16cid:durableId="138545496">
    <w:abstractNumId w:val="14"/>
  </w:num>
  <w:num w:numId="50" w16cid:durableId="1822113238">
    <w:abstractNumId w:val="27"/>
  </w:num>
  <w:num w:numId="51" w16cid:durableId="165583599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352669"/>
    <w:rsid w:val="00003A07"/>
    <w:rsid w:val="00006062"/>
    <w:rsid w:val="000079AF"/>
    <w:rsid w:val="00015D3B"/>
    <w:rsid w:val="00017E56"/>
    <w:rsid w:val="00022235"/>
    <w:rsid w:val="000235EF"/>
    <w:rsid w:val="00024FBF"/>
    <w:rsid w:val="000334ED"/>
    <w:rsid w:val="00040B1E"/>
    <w:rsid w:val="00041558"/>
    <w:rsid w:val="00045EE6"/>
    <w:rsid w:val="00050E42"/>
    <w:rsid w:val="00053619"/>
    <w:rsid w:val="000552CB"/>
    <w:rsid w:val="000559AE"/>
    <w:rsid w:val="00057365"/>
    <w:rsid w:val="00063FDD"/>
    <w:rsid w:val="00066EF4"/>
    <w:rsid w:val="00070CC6"/>
    <w:rsid w:val="00070EEA"/>
    <w:rsid w:val="00074212"/>
    <w:rsid w:val="00075AFB"/>
    <w:rsid w:val="00082F61"/>
    <w:rsid w:val="0008566C"/>
    <w:rsid w:val="00086357"/>
    <w:rsid w:val="00087DA3"/>
    <w:rsid w:val="00090B7E"/>
    <w:rsid w:val="000931B2"/>
    <w:rsid w:val="0009597B"/>
    <w:rsid w:val="00097071"/>
    <w:rsid w:val="000A3D24"/>
    <w:rsid w:val="000A622A"/>
    <w:rsid w:val="000B117F"/>
    <w:rsid w:val="000B51C7"/>
    <w:rsid w:val="000B7976"/>
    <w:rsid w:val="000C101B"/>
    <w:rsid w:val="000C17D7"/>
    <w:rsid w:val="000D00CE"/>
    <w:rsid w:val="000D2647"/>
    <w:rsid w:val="000D5311"/>
    <w:rsid w:val="000E6686"/>
    <w:rsid w:val="000E6C28"/>
    <w:rsid w:val="000E6F20"/>
    <w:rsid w:val="000F3578"/>
    <w:rsid w:val="000F7D98"/>
    <w:rsid w:val="00103A35"/>
    <w:rsid w:val="00113EF1"/>
    <w:rsid w:val="00113FB8"/>
    <w:rsid w:val="00114B8E"/>
    <w:rsid w:val="0011536D"/>
    <w:rsid w:val="00115418"/>
    <w:rsid w:val="00133276"/>
    <w:rsid w:val="0014232F"/>
    <w:rsid w:val="00147380"/>
    <w:rsid w:val="00152BE7"/>
    <w:rsid w:val="00162EBE"/>
    <w:rsid w:val="001723DA"/>
    <w:rsid w:val="00185A8A"/>
    <w:rsid w:val="00191709"/>
    <w:rsid w:val="0019321E"/>
    <w:rsid w:val="00194D85"/>
    <w:rsid w:val="001951FA"/>
    <w:rsid w:val="00195EFD"/>
    <w:rsid w:val="001965A1"/>
    <w:rsid w:val="001A156B"/>
    <w:rsid w:val="001A73B2"/>
    <w:rsid w:val="001A760B"/>
    <w:rsid w:val="001B0FD0"/>
    <w:rsid w:val="001B200B"/>
    <w:rsid w:val="001B255B"/>
    <w:rsid w:val="001B2790"/>
    <w:rsid w:val="001B524C"/>
    <w:rsid w:val="001C7CE1"/>
    <w:rsid w:val="001C7EA1"/>
    <w:rsid w:val="001D064B"/>
    <w:rsid w:val="001D36FF"/>
    <w:rsid w:val="001D3BFA"/>
    <w:rsid w:val="001D51E4"/>
    <w:rsid w:val="001E53DD"/>
    <w:rsid w:val="001E6836"/>
    <w:rsid w:val="001F4CC6"/>
    <w:rsid w:val="001F5E0D"/>
    <w:rsid w:val="00210D8D"/>
    <w:rsid w:val="00214CCD"/>
    <w:rsid w:val="00216A2A"/>
    <w:rsid w:val="0022411E"/>
    <w:rsid w:val="0022497C"/>
    <w:rsid w:val="002325EF"/>
    <w:rsid w:val="00234185"/>
    <w:rsid w:val="00240DCC"/>
    <w:rsid w:val="00242160"/>
    <w:rsid w:val="0024629A"/>
    <w:rsid w:val="00246AE4"/>
    <w:rsid w:val="00247F62"/>
    <w:rsid w:val="00250444"/>
    <w:rsid w:val="00251F7E"/>
    <w:rsid w:val="00257373"/>
    <w:rsid w:val="00260251"/>
    <w:rsid w:val="00261408"/>
    <w:rsid w:val="00261DD7"/>
    <w:rsid w:val="00281701"/>
    <w:rsid w:val="00286E44"/>
    <w:rsid w:val="002923A5"/>
    <w:rsid w:val="00296248"/>
    <w:rsid w:val="002A029F"/>
    <w:rsid w:val="002A2CD1"/>
    <w:rsid w:val="002A4A4B"/>
    <w:rsid w:val="002A53D2"/>
    <w:rsid w:val="002B10D8"/>
    <w:rsid w:val="002B45B9"/>
    <w:rsid w:val="002C108B"/>
    <w:rsid w:val="002C137B"/>
    <w:rsid w:val="002C642D"/>
    <w:rsid w:val="002D1DAD"/>
    <w:rsid w:val="002D3BE7"/>
    <w:rsid w:val="002D42F7"/>
    <w:rsid w:val="002E1114"/>
    <w:rsid w:val="002E1DA0"/>
    <w:rsid w:val="002E4C28"/>
    <w:rsid w:val="002F1D8B"/>
    <w:rsid w:val="002F5177"/>
    <w:rsid w:val="00306591"/>
    <w:rsid w:val="00306E6F"/>
    <w:rsid w:val="0031059C"/>
    <w:rsid w:val="003138B0"/>
    <w:rsid w:val="00315357"/>
    <w:rsid w:val="0032291B"/>
    <w:rsid w:val="00327830"/>
    <w:rsid w:val="00332D07"/>
    <w:rsid w:val="00336FB2"/>
    <w:rsid w:val="00340014"/>
    <w:rsid w:val="003421B6"/>
    <w:rsid w:val="003421C6"/>
    <w:rsid w:val="003513A2"/>
    <w:rsid w:val="00351429"/>
    <w:rsid w:val="00352669"/>
    <w:rsid w:val="00361CDA"/>
    <w:rsid w:val="00361FAB"/>
    <w:rsid w:val="00362B05"/>
    <w:rsid w:val="0036613F"/>
    <w:rsid w:val="00372E56"/>
    <w:rsid w:val="003731B7"/>
    <w:rsid w:val="00374152"/>
    <w:rsid w:val="003817F1"/>
    <w:rsid w:val="003963D7"/>
    <w:rsid w:val="00397579"/>
    <w:rsid w:val="003A1762"/>
    <w:rsid w:val="003A5C00"/>
    <w:rsid w:val="003B098D"/>
    <w:rsid w:val="003B687C"/>
    <w:rsid w:val="003C5624"/>
    <w:rsid w:val="003C5AC7"/>
    <w:rsid w:val="003C73D0"/>
    <w:rsid w:val="003D0802"/>
    <w:rsid w:val="003D145D"/>
    <w:rsid w:val="003D66BD"/>
    <w:rsid w:val="003D6A51"/>
    <w:rsid w:val="003E071F"/>
    <w:rsid w:val="003E67D0"/>
    <w:rsid w:val="003E7E2E"/>
    <w:rsid w:val="003F2EE7"/>
    <w:rsid w:val="003F5078"/>
    <w:rsid w:val="003F548C"/>
    <w:rsid w:val="003F683E"/>
    <w:rsid w:val="0040014B"/>
    <w:rsid w:val="00405378"/>
    <w:rsid w:val="0041045A"/>
    <w:rsid w:val="00411838"/>
    <w:rsid w:val="00415F09"/>
    <w:rsid w:val="00421884"/>
    <w:rsid w:val="004240CF"/>
    <w:rsid w:val="00425F1B"/>
    <w:rsid w:val="004311E0"/>
    <w:rsid w:val="00431C59"/>
    <w:rsid w:val="00434624"/>
    <w:rsid w:val="00434F8E"/>
    <w:rsid w:val="00435929"/>
    <w:rsid w:val="00440282"/>
    <w:rsid w:val="004415B9"/>
    <w:rsid w:val="004435BD"/>
    <w:rsid w:val="00444BB6"/>
    <w:rsid w:val="004508D5"/>
    <w:rsid w:val="00453B4F"/>
    <w:rsid w:val="00460E12"/>
    <w:rsid w:val="00461C6A"/>
    <w:rsid w:val="004622DC"/>
    <w:rsid w:val="0047158F"/>
    <w:rsid w:val="00473979"/>
    <w:rsid w:val="004757C1"/>
    <w:rsid w:val="004807F4"/>
    <w:rsid w:val="00482CE3"/>
    <w:rsid w:val="00485460"/>
    <w:rsid w:val="004856C4"/>
    <w:rsid w:val="0049324B"/>
    <w:rsid w:val="00496C62"/>
    <w:rsid w:val="004A5D57"/>
    <w:rsid w:val="004A6B13"/>
    <w:rsid w:val="004B4B78"/>
    <w:rsid w:val="004B6D8F"/>
    <w:rsid w:val="004D0A2F"/>
    <w:rsid w:val="004D2A63"/>
    <w:rsid w:val="004D427E"/>
    <w:rsid w:val="004D4E05"/>
    <w:rsid w:val="004D732D"/>
    <w:rsid w:val="004D7664"/>
    <w:rsid w:val="004E0886"/>
    <w:rsid w:val="004E3B7F"/>
    <w:rsid w:val="004E4DD1"/>
    <w:rsid w:val="004E538C"/>
    <w:rsid w:val="004E6F58"/>
    <w:rsid w:val="004E769E"/>
    <w:rsid w:val="004F666C"/>
    <w:rsid w:val="005015E9"/>
    <w:rsid w:val="005021B0"/>
    <w:rsid w:val="005026C2"/>
    <w:rsid w:val="0050280A"/>
    <w:rsid w:val="0050468F"/>
    <w:rsid w:val="00506F43"/>
    <w:rsid w:val="00510311"/>
    <w:rsid w:val="005112EF"/>
    <w:rsid w:val="0051530E"/>
    <w:rsid w:val="00523402"/>
    <w:rsid w:val="00523737"/>
    <w:rsid w:val="00524A7D"/>
    <w:rsid w:val="0052698C"/>
    <w:rsid w:val="00526EBA"/>
    <w:rsid w:val="005274DE"/>
    <w:rsid w:val="005278B5"/>
    <w:rsid w:val="00531075"/>
    <w:rsid w:val="005339CD"/>
    <w:rsid w:val="005411F0"/>
    <w:rsid w:val="00543720"/>
    <w:rsid w:val="00544363"/>
    <w:rsid w:val="00553182"/>
    <w:rsid w:val="00557ADE"/>
    <w:rsid w:val="005646F3"/>
    <w:rsid w:val="00574131"/>
    <w:rsid w:val="00581584"/>
    <w:rsid w:val="0058740C"/>
    <w:rsid w:val="00590D96"/>
    <w:rsid w:val="005A4CCB"/>
    <w:rsid w:val="005A4ECE"/>
    <w:rsid w:val="005B136E"/>
    <w:rsid w:val="005B3D48"/>
    <w:rsid w:val="005B4294"/>
    <w:rsid w:val="005B49CF"/>
    <w:rsid w:val="005B5A1E"/>
    <w:rsid w:val="005B7049"/>
    <w:rsid w:val="005C0117"/>
    <w:rsid w:val="005C1D15"/>
    <w:rsid w:val="005C3E93"/>
    <w:rsid w:val="005D1CE8"/>
    <w:rsid w:val="005D6A31"/>
    <w:rsid w:val="005D7121"/>
    <w:rsid w:val="005E0338"/>
    <w:rsid w:val="005E2072"/>
    <w:rsid w:val="005E4B0F"/>
    <w:rsid w:val="005E5D5D"/>
    <w:rsid w:val="005E66F5"/>
    <w:rsid w:val="005F0C44"/>
    <w:rsid w:val="005F3061"/>
    <w:rsid w:val="005F31AA"/>
    <w:rsid w:val="005F3E58"/>
    <w:rsid w:val="005F78D1"/>
    <w:rsid w:val="00600BE5"/>
    <w:rsid w:val="0060145E"/>
    <w:rsid w:val="006030EA"/>
    <w:rsid w:val="00607A98"/>
    <w:rsid w:val="00607B6B"/>
    <w:rsid w:val="006114E7"/>
    <w:rsid w:val="006147C7"/>
    <w:rsid w:val="00615E9B"/>
    <w:rsid w:val="00615FF8"/>
    <w:rsid w:val="00616D18"/>
    <w:rsid w:val="006172D0"/>
    <w:rsid w:val="00617896"/>
    <w:rsid w:val="00623A81"/>
    <w:rsid w:val="00623ED5"/>
    <w:rsid w:val="00637DFF"/>
    <w:rsid w:val="006413B4"/>
    <w:rsid w:val="00642B39"/>
    <w:rsid w:val="00650485"/>
    <w:rsid w:val="006519F7"/>
    <w:rsid w:val="006534A5"/>
    <w:rsid w:val="0066467F"/>
    <w:rsid w:val="00665ADA"/>
    <w:rsid w:val="00666BEA"/>
    <w:rsid w:val="006733F1"/>
    <w:rsid w:val="00673C9D"/>
    <w:rsid w:val="00674B5F"/>
    <w:rsid w:val="00676119"/>
    <w:rsid w:val="00683C8B"/>
    <w:rsid w:val="00687D21"/>
    <w:rsid w:val="00694016"/>
    <w:rsid w:val="00694DB1"/>
    <w:rsid w:val="006A0398"/>
    <w:rsid w:val="006A104E"/>
    <w:rsid w:val="006A32A5"/>
    <w:rsid w:val="006B4F59"/>
    <w:rsid w:val="006B7C7F"/>
    <w:rsid w:val="006C40C2"/>
    <w:rsid w:val="006C412F"/>
    <w:rsid w:val="006D69B4"/>
    <w:rsid w:val="006E0CB1"/>
    <w:rsid w:val="006E1B56"/>
    <w:rsid w:val="006F0CFE"/>
    <w:rsid w:val="006F3021"/>
    <w:rsid w:val="006F7A17"/>
    <w:rsid w:val="006F7B7E"/>
    <w:rsid w:val="006F7F47"/>
    <w:rsid w:val="00700A2A"/>
    <w:rsid w:val="00700BB2"/>
    <w:rsid w:val="00700D99"/>
    <w:rsid w:val="007043BD"/>
    <w:rsid w:val="00705541"/>
    <w:rsid w:val="00705A18"/>
    <w:rsid w:val="007106F9"/>
    <w:rsid w:val="0071231A"/>
    <w:rsid w:val="00713A13"/>
    <w:rsid w:val="00724241"/>
    <w:rsid w:val="007315A5"/>
    <w:rsid w:val="007325C5"/>
    <w:rsid w:val="007361C8"/>
    <w:rsid w:val="00736251"/>
    <w:rsid w:val="00740219"/>
    <w:rsid w:val="0074464A"/>
    <w:rsid w:val="00744EFB"/>
    <w:rsid w:val="00746118"/>
    <w:rsid w:val="00746A17"/>
    <w:rsid w:val="00747278"/>
    <w:rsid w:val="00750BE5"/>
    <w:rsid w:val="007513DF"/>
    <w:rsid w:val="007545DB"/>
    <w:rsid w:val="0075622C"/>
    <w:rsid w:val="007632F6"/>
    <w:rsid w:val="0076397A"/>
    <w:rsid w:val="007656DE"/>
    <w:rsid w:val="00766FA7"/>
    <w:rsid w:val="00766FF8"/>
    <w:rsid w:val="00776338"/>
    <w:rsid w:val="007840E6"/>
    <w:rsid w:val="007906B4"/>
    <w:rsid w:val="00795ACA"/>
    <w:rsid w:val="00796003"/>
    <w:rsid w:val="007960CB"/>
    <w:rsid w:val="00796846"/>
    <w:rsid w:val="007A187F"/>
    <w:rsid w:val="007A2184"/>
    <w:rsid w:val="007A2284"/>
    <w:rsid w:val="007A3C7C"/>
    <w:rsid w:val="007A55B6"/>
    <w:rsid w:val="007A675A"/>
    <w:rsid w:val="007B1A75"/>
    <w:rsid w:val="007B2C54"/>
    <w:rsid w:val="007B56AF"/>
    <w:rsid w:val="007B5EF5"/>
    <w:rsid w:val="007C034D"/>
    <w:rsid w:val="007C2245"/>
    <w:rsid w:val="007C2A67"/>
    <w:rsid w:val="007C3446"/>
    <w:rsid w:val="007C4F61"/>
    <w:rsid w:val="007D267D"/>
    <w:rsid w:val="007D6FAB"/>
    <w:rsid w:val="007E1C10"/>
    <w:rsid w:val="007E5135"/>
    <w:rsid w:val="007E51F4"/>
    <w:rsid w:val="007E692D"/>
    <w:rsid w:val="007E6B7A"/>
    <w:rsid w:val="007E7E81"/>
    <w:rsid w:val="007F02D7"/>
    <w:rsid w:val="007F749B"/>
    <w:rsid w:val="008003EA"/>
    <w:rsid w:val="008019A6"/>
    <w:rsid w:val="00801AB6"/>
    <w:rsid w:val="0080307D"/>
    <w:rsid w:val="00806A5C"/>
    <w:rsid w:val="008147A5"/>
    <w:rsid w:val="0082205B"/>
    <w:rsid w:val="008301A4"/>
    <w:rsid w:val="008324C4"/>
    <w:rsid w:val="00833DA0"/>
    <w:rsid w:val="00840689"/>
    <w:rsid w:val="00843527"/>
    <w:rsid w:val="0085230B"/>
    <w:rsid w:val="00862C5B"/>
    <w:rsid w:val="008636E4"/>
    <w:rsid w:val="00863758"/>
    <w:rsid w:val="00865E6C"/>
    <w:rsid w:val="00867965"/>
    <w:rsid w:val="00876D4D"/>
    <w:rsid w:val="00877DE7"/>
    <w:rsid w:val="008803AA"/>
    <w:rsid w:val="00880F82"/>
    <w:rsid w:val="00881A50"/>
    <w:rsid w:val="00887FCD"/>
    <w:rsid w:val="00890EF9"/>
    <w:rsid w:val="00891FDE"/>
    <w:rsid w:val="00893825"/>
    <w:rsid w:val="008A223F"/>
    <w:rsid w:val="008A40EE"/>
    <w:rsid w:val="008A659C"/>
    <w:rsid w:val="008B03C3"/>
    <w:rsid w:val="008B0E55"/>
    <w:rsid w:val="008B2B38"/>
    <w:rsid w:val="008B2D5D"/>
    <w:rsid w:val="008B3489"/>
    <w:rsid w:val="008B3C79"/>
    <w:rsid w:val="008B5700"/>
    <w:rsid w:val="008C1E21"/>
    <w:rsid w:val="008C5670"/>
    <w:rsid w:val="008C75EB"/>
    <w:rsid w:val="008D12D8"/>
    <w:rsid w:val="008D704C"/>
    <w:rsid w:val="008F0218"/>
    <w:rsid w:val="00904274"/>
    <w:rsid w:val="009135E9"/>
    <w:rsid w:val="00915225"/>
    <w:rsid w:val="009242C0"/>
    <w:rsid w:val="00926A9D"/>
    <w:rsid w:val="00927185"/>
    <w:rsid w:val="00932DA7"/>
    <w:rsid w:val="00940423"/>
    <w:rsid w:val="00951700"/>
    <w:rsid w:val="0095173F"/>
    <w:rsid w:val="00952A45"/>
    <w:rsid w:val="00952C38"/>
    <w:rsid w:val="009555F6"/>
    <w:rsid w:val="00960B9C"/>
    <w:rsid w:val="0096511A"/>
    <w:rsid w:val="0096574E"/>
    <w:rsid w:val="00971545"/>
    <w:rsid w:val="00973B3D"/>
    <w:rsid w:val="009752E9"/>
    <w:rsid w:val="009759BC"/>
    <w:rsid w:val="00976880"/>
    <w:rsid w:val="0098104D"/>
    <w:rsid w:val="00982120"/>
    <w:rsid w:val="00982227"/>
    <w:rsid w:val="00986B02"/>
    <w:rsid w:val="00987696"/>
    <w:rsid w:val="00993DAA"/>
    <w:rsid w:val="00995205"/>
    <w:rsid w:val="009A4647"/>
    <w:rsid w:val="009A4CEF"/>
    <w:rsid w:val="009A5B85"/>
    <w:rsid w:val="009B2906"/>
    <w:rsid w:val="009C10C0"/>
    <w:rsid w:val="009D14D7"/>
    <w:rsid w:val="009D268A"/>
    <w:rsid w:val="009D3554"/>
    <w:rsid w:val="009D7D05"/>
    <w:rsid w:val="009E006C"/>
    <w:rsid w:val="009E1348"/>
    <w:rsid w:val="009F01F5"/>
    <w:rsid w:val="009F37E8"/>
    <w:rsid w:val="009F41EE"/>
    <w:rsid w:val="009F4D84"/>
    <w:rsid w:val="009F52C8"/>
    <w:rsid w:val="00A121B3"/>
    <w:rsid w:val="00A141AE"/>
    <w:rsid w:val="00A226F6"/>
    <w:rsid w:val="00A22B83"/>
    <w:rsid w:val="00A30FFB"/>
    <w:rsid w:val="00A344CD"/>
    <w:rsid w:val="00A34DB7"/>
    <w:rsid w:val="00A36D69"/>
    <w:rsid w:val="00A407EB"/>
    <w:rsid w:val="00A51012"/>
    <w:rsid w:val="00A51E41"/>
    <w:rsid w:val="00A600EC"/>
    <w:rsid w:val="00A60E4F"/>
    <w:rsid w:val="00A73760"/>
    <w:rsid w:val="00A756F1"/>
    <w:rsid w:val="00A779A1"/>
    <w:rsid w:val="00A81A2D"/>
    <w:rsid w:val="00A828DD"/>
    <w:rsid w:val="00A82967"/>
    <w:rsid w:val="00A86541"/>
    <w:rsid w:val="00A875B4"/>
    <w:rsid w:val="00A90AC8"/>
    <w:rsid w:val="00A96728"/>
    <w:rsid w:val="00AA3E1E"/>
    <w:rsid w:val="00AA4E1F"/>
    <w:rsid w:val="00AA5AF9"/>
    <w:rsid w:val="00AA6BFA"/>
    <w:rsid w:val="00AB242D"/>
    <w:rsid w:val="00AB5030"/>
    <w:rsid w:val="00AB7276"/>
    <w:rsid w:val="00AB75BC"/>
    <w:rsid w:val="00AC1662"/>
    <w:rsid w:val="00AC37F8"/>
    <w:rsid w:val="00AD018C"/>
    <w:rsid w:val="00AE06D5"/>
    <w:rsid w:val="00AE21C0"/>
    <w:rsid w:val="00AE487F"/>
    <w:rsid w:val="00AE6FB5"/>
    <w:rsid w:val="00AF1823"/>
    <w:rsid w:val="00AF49C1"/>
    <w:rsid w:val="00AF5F70"/>
    <w:rsid w:val="00AF64CE"/>
    <w:rsid w:val="00B045C9"/>
    <w:rsid w:val="00B0563D"/>
    <w:rsid w:val="00B06369"/>
    <w:rsid w:val="00B06E9A"/>
    <w:rsid w:val="00B07C1A"/>
    <w:rsid w:val="00B125BD"/>
    <w:rsid w:val="00B12EA7"/>
    <w:rsid w:val="00B1325F"/>
    <w:rsid w:val="00B15EB1"/>
    <w:rsid w:val="00B163D1"/>
    <w:rsid w:val="00B20281"/>
    <w:rsid w:val="00B218EC"/>
    <w:rsid w:val="00B23AD9"/>
    <w:rsid w:val="00B25FF2"/>
    <w:rsid w:val="00B27539"/>
    <w:rsid w:val="00B3340F"/>
    <w:rsid w:val="00B33848"/>
    <w:rsid w:val="00B33B60"/>
    <w:rsid w:val="00B46A1F"/>
    <w:rsid w:val="00B4700E"/>
    <w:rsid w:val="00B51CDF"/>
    <w:rsid w:val="00B55203"/>
    <w:rsid w:val="00B632A5"/>
    <w:rsid w:val="00B7289B"/>
    <w:rsid w:val="00B74F09"/>
    <w:rsid w:val="00B80BEC"/>
    <w:rsid w:val="00B8158C"/>
    <w:rsid w:val="00B81997"/>
    <w:rsid w:val="00B83F99"/>
    <w:rsid w:val="00B84C8D"/>
    <w:rsid w:val="00B84C8F"/>
    <w:rsid w:val="00B87C40"/>
    <w:rsid w:val="00B87EA1"/>
    <w:rsid w:val="00B90F06"/>
    <w:rsid w:val="00B933F0"/>
    <w:rsid w:val="00B94743"/>
    <w:rsid w:val="00B960D4"/>
    <w:rsid w:val="00BA44F0"/>
    <w:rsid w:val="00BB0621"/>
    <w:rsid w:val="00BB5225"/>
    <w:rsid w:val="00BC341D"/>
    <w:rsid w:val="00BC4157"/>
    <w:rsid w:val="00BC4C4C"/>
    <w:rsid w:val="00BD2FD3"/>
    <w:rsid w:val="00BD3094"/>
    <w:rsid w:val="00BD4169"/>
    <w:rsid w:val="00BD7138"/>
    <w:rsid w:val="00BE5E87"/>
    <w:rsid w:val="00BE6B30"/>
    <w:rsid w:val="00BF1B66"/>
    <w:rsid w:val="00BF25BE"/>
    <w:rsid w:val="00BF6739"/>
    <w:rsid w:val="00C0013A"/>
    <w:rsid w:val="00C0059A"/>
    <w:rsid w:val="00C00FB2"/>
    <w:rsid w:val="00C017A8"/>
    <w:rsid w:val="00C0491E"/>
    <w:rsid w:val="00C06607"/>
    <w:rsid w:val="00C07EB0"/>
    <w:rsid w:val="00C10BB6"/>
    <w:rsid w:val="00C11771"/>
    <w:rsid w:val="00C14EB1"/>
    <w:rsid w:val="00C15076"/>
    <w:rsid w:val="00C21ED9"/>
    <w:rsid w:val="00C24415"/>
    <w:rsid w:val="00C27663"/>
    <w:rsid w:val="00C3295D"/>
    <w:rsid w:val="00C33CD6"/>
    <w:rsid w:val="00C34B19"/>
    <w:rsid w:val="00C37DBF"/>
    <w:rsid w:val="00C42FFB"/>
    <w:rsid w:val="00C4595A"/>
    <w:rsid w:val="00C51796"/>
    <w:rsid w:val="00C53545"/>
    <w:rsid w:val="00C544DE"/>
    <w:rsid w:val="00C56CEE"/>
    <w:rsid w:val="00C57FC6"/>
    <w:rsid w:val="00C6546F"/>
    <w:rsid w:val="00C6660A"/>
    <w:rsid w:val="00C736FD"/>
    <w:rsid w:val="00C77A29"/>
    <w:rsid w:val="00C8074E"/>
    <w:rsid w:val="00C81381"/>
    <w:rsid w:val="00C81A43"/>
    <w:rsid w:val="00C81E94"/>
    <w:rsid w:val="00C82EB5"/>
    <w:rsid w:val="00C8302F"/>
    <w:rsid w:val="00C831D3"/>
    <w:rsid w:val="00C907F9"/>
    <w:rsid w:val="00CA22F6"/>
    <w:rsid w:val="00CA6AE3"/>
    <w:rsid w:val="00CB7916"/>
    <w:rsid w:val="00CC3156"/>
    <w:rsid w:val="00CC4B2E"/>
    <w:rsid w:val="00CC5719"/>
    <w:rsid w:val="00CD34D5"/>
    <w:rsid w:val="00CD71B5"/>
    <w:rsid w:val="00CD7FEA"/>
    <w:rsid w:val="00CE08A6"/>
    <w:rsid w:val="00CE0C11"/>
    <w:rsid w:val="00CE13A1"/>
    <w:rsid w:val="00CE226D"/>
    <w:rsid w:val="00CE3523"/>
    <w:rsid w:val="00CE38FD"/>
    <w:rsid w:val="00CE673A"/>
    <w:rsid w:val="00CF12B1"/>
    <w:rsid w:val="00CF6103"/>
    <w:rsid w:val="00D047CE"/>
    <w:rsid w:val="00D05BA7"/>
    <w:rsid w:val="00D070A0"/>
    <w:rsid w:val="00D10A05"/>
    <w:rsid w:val="00D209C1"/>
    <w:rsid w:val="00D21594"/>
    <w:rsid w:val="00D25168"/>
    <w:rsid w:val="00D275A6"/>
    <w:rsid w:val="00D310F8"/>
    <w:rsid w:val="00D31F69"/>
    <w:rsid w:val="00D40AE0"/>
    <w:rsid w:val="00D41D5C"/>
    <w:rsid w:val="00D57C98"/>
    <w:rsid w:val="00D60C45"/>
    <w:rsid w:val="00D652DD"/>
    <w:rsid w:val="00D71ACA"/>
    <w:rsid w:val="00D75C65"/>
    <w:rsid w:val="00D7669D"/>
    <w:rsid w:val="00D91AFC"/>
    <w:rsid w:val="00D9274A"/>
    <w:rsid w:val="00D944D1"/>
    <w:rsid w:val="00DA3084"/>
    <w:rsid w:val="00DA71BF"/>
    <w:rsid w:val="00DC1317"/>
    <w:rsid w:val="00DC18FB"/>
    <w:rsid w:val="00DC5282"/>
    <w:rsid w:val="00DC5814"/>
    <w:rsid w:val="00DD1948"/>
    <w:rsid w:val="00DD4698"/>
    <w:rsid w:val="00DD5F98"/>
    <w:rsid w:val="00DE1F5E"/>
    <w:rsid w:val="00DF5300"/>
    <w:rsid w:val="00E0377F"/>
    <w:rsid w:val="00E066BF"/>
    <w:rsid w:val="00E118C5"/>
    <w:rsid w:val="00E15320"/>
    <w:rsid w:val="00E17721"/>
    <w:rsid w:val="00E2092B"/>
    <w:rsid w:val="00E211D1"/>
    <w:rsid w:val="00E221AD"/>
    <w:rsid w:val="00E248BF"/>
    <w:rsid w:val="00E333B7"/>
    <w:rsid w:val="00E34455"/>
    <w:rsid w:val="00E34A60"/>
    <w:rsid w:val="00E41987"/>
    <w:rsid w:val="00E42460"/>
    <w:rsid w:val="00E43FBB"/>
    <w:rsid w:val="00E45AD3"/>
    <w:rsid w:val="00E47DF5"/>
    <w:rsid w:val="00E5155C"/>
    <w:rsid w:val="00E54F81"/>
    <w:rsid w:val="00E6540F"/>
    <w:rsid w:val="00E65C36"/>
    <w:rsid w:val="00E669F8"/>
    <w:rsid w:val="00E70B15"/>
    <w:rsid w:val="00E7193B"/>
    <w:rsid w:val="00E74D37"/>
    <w:rsid w:val="00E75691"/>
    <w:rsid w:val="00E75E9F"/>
    <w:rsid w:val="00E8083A"/>
    <w:rsid w:val="00E82430"/>
    <w:rsid w:val="00E85C0C"/>
    <w:rsid w:val="00E92C0A"/>
    <w:rsid w:val="00EA1326"/>
    <w:rsid w:val="00EA65BA"/>
    <w:rsid w:val="00EB114E"/>
    <w:rsid w:val="00EB33B8"/>
    <w:rsid w:val="00EC1F06"/>
    <w:rsid w:val="00EC3B81"/>
    <w:rsid w:val="00EC6B34"/>
    <w:rsid w:val="00ED045D"/>
    <w:rsid w:val="00ED1C67"/>
    <w:rsid w:val="00ED23DA"/>
    <w:rsid w:val="00ED286F"/>
    <w:rsid w:val="00ED3531"/>
    <w:rsid w:val="00ED4A74"/>
    <w:rsid w:val="00EE1C2E"/>
    <w:rsid w:val="00EE26FD"/>
    <w:rsid w:val="00EE6387"/>
    <w:rsid w:val="00EF0AFB"/>
    <w:rsid w:val="00EF5437"/>
    <w:rsid w:val="00EF66DD"/>
    <w:rsid w:val="00F01476"/>
    <w:rsid w:val="00F02A78"/>
    <w:rsid w:val="00F0384E"/>
    <w:rsid w:val="00F04DA2"/>
    <w:rsid w:val="00F069FC"/>
    <w:rsid w:val="00F149B8"/>
    <w:rsid w:val="00F20E04"/>
    <w:rsid w:val="00F2618A"/>
    <w:rsid w:val="00F348AF"/>
    <w:rsid w:val="00F350DC"/>
    <w:rsid w:val="00F40AD3"/>
    <w:rsid w:val="00F41205"/>
    <w:rsid w:val="00F41C83"/>
    <w:rsid w:val="00F44541"/>
    <w:rsid w:val="00F456B3"/>
    <w:rsid w:val="00F504A9"/>
    <w:rsid w:val="00F53BF0"/>
    <w:rsid w:val="00F569B6"/>
    <w:rsid w:val="00F60153"/>
    <w:rsid w:val="00F60953"/>
    <w:rsid w:val="00F60C2E"/>
    <w:rsid w:val="00F71FC5"/>
    <w:rsid w:val="00F72E94"/>
    <w:rsid w:val="00F75917"/>
    <w:rsid w:val="00F82122"/>
    <w:rsid w:val="00F861BC"/>
    <w:rsid w:val="00F90AAB"/>
    <w:rsid w:val="00F913F0"/>
    <w:rsid w:val="00F92DEA"/>
    <w:rsid w:val="00F93268"/>
    <w:rsid w:val="00F9462B"/>
    <w:rsid w:val="00F95980"/>
    <w:rsid w:val="00FA08D2"/>
    <w:rsid w:val="00FA11F2"/>
    <w:rsid w:val="00FA5247"/>
    <w:rsid w:val="00FB10CD"/>
    <w:rsid w:val="00FB256E"/>
    <w:rsid w:val="00FB653E"/>
    <w:rsid w:val="00FB7CD6"/>
    <w:rsid w:val="00FC11A8"/>
    <w:rsid w:val="00FC4994"/>
    <w:rsid w:val="00FC4AC1"/>
    <w:rsid w:val="00FC4C05"/>
    <w:rsid w:val="00FC7DE3"/>
    <w:rsid w:val="00FD4883"/>
    <w:rsid w:val="00FE2863"/>
    <w:rsid w:val="00FE30D7"/>
    <w:rsid w:val="00FE331B"/>
    <w:rsid w:val="00FE43F7"/>
    <w:rsid w:val="00FF1FF1"/>
    <w:rsid w:val="00FF3683"/>
    <w:rsid w:val="00FF3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23228"/>
  <w15:docId w15:val="{8E650743-A6D9-4089-B8F1-D1089736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1C7"/>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b10pt,body,by,newBody"/>
    <w:basedOn w:val="Normal"/>
    <w:link w:val="BodyChar"/>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6"/>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6"/>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48"/>
      </w:numPr>
      <w:spacing w:after="140" w:line="290" w:lineRule="auto"/>
      <w:jc w:val="both"/>
    </w:pPr>
    <w:rPr>
      <w:kern w:val="20"/>
    </w:rPr>
  </w:style>
  <w:style w:type="numbering" w:customStyle="1" w:styleId="BodyStyle">
    <w:name w:val="BodyStyle"/>
    <w:uiPriority w:val="99"/>
    <w:rsid w:val="003C5AC7"/>
    <w:pPr>
      <w:numPr>
        <w:numId w:val="47"/>
      </w:numPr>
    </w:pPr>
  </w:style>
  <w:style w:type="character" w:customStyle="1" w:styleId="BodyChar">
    <w:name w:val="Body Char"/>
    <w:basedOn w:val="DefaultParagraphFont"/>
    <w:link w:val="Body"/>
    <w:rsid w:val="00352669"/>
    <w:rPr>
      <w:rFonts w:ascii="Arial" w:hAnsi="Arial"/>
      <w:kern w:val="20"/>
      <w:szCs w:val="24"/>
    </w:rPr>
  </w:style>
  <w:style w:type="table" w:styleId="TableGrid">
    <w:name w:val="Table Grid"/>
    <w:basedOn w:val="TableNormal"/>
    <w:rsid w:val="00210D8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Text">
    <w:name w:val="wText"/>
    <w:basedOn w:val="Normal"/>
    <w:link w:val="wTextChar"/>
    <w:uiPriority w:val="99"/>
    <w:qFormat/>
    <w:rsid w:val="00F41C83"/>
    <w:pPr>
      <w:spacing w:after="180"/>
      <w:jc w:val="both"/>
    </w:pPr>
    <w:rPr>
      <w:rFonts w:ascii="Times New Roman" w:eastAsia="MS Mincho" w:hAnsi="Times New Roman"/>
      <w:szCs w:val="22"/>
      <w:lang w:val="en-US" w:eastAsia="en-US"/>
    </w:rPr>
  </w:style>
  <w:style w:type="character" w:customStyle="1" w:styleId="wTextChar">
    <w:name w:val="wText Char"/>
    <w:basedOn w:val="DefaultParagraphFont"/>
    <w:link w:val="wText"/>
    <w:uiPriority w:val="99"/>
    <w:rsid w:val="00F41C83"/>
    <w:rPr>
      <w:rFonts w:eastAsia="MS Mincho"/>
      <w:szCs w:val="22"/>
      <w:lang w:val="en-US" w:eastAsia="en-US"/>
    </w:rPr>
  </w:style>
  <w:style w:type="table" w:customStyle="1" w:styleId="TableGrid1">
    <w:name w:val="Table Grid1"/>
    <w:basedOn w:val="TableNormal"/>
    <w:next w:val="TableGrid"/>
    <w:uiPriority w:val="59"/>
    <w:rsid w:val="003D145D"/>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1700"/>
    <w:rPr>
      <w:color w:val="605E5C"/>
      <w:shd w:val="clear" w:color="auto" w:fill="E1DFDD"/>
    </w:rPr>
  </w:style>
  <w:style w:type="character" w:customStyle="1" w:styleId="HeaderChar">
    <w:name w:val="Header Char"/>
    <w:basedOn w:val="DefaultParagraphFont"/>
    <w:link w:val="Header"/>
    <w:rsid w:val="00A73760"/>
    <w:rPr>
      <w:rFonts w:ascii="Arial" w:hAnsi="Arial"/>
      <w:kern w:val="20"/>
      <w:szCs w:val="24"/>
    </w:rPr>
  </w:style>
  <w:style w:type="paragraph" w:customStyle="1" w:styleId="Alpha2-A">
    <w:name w:val="Alpha 2-(A)"/>
    <w:basedOn w:val="Normal"/>
    <w:rsid w:val="00876D4D"/>
    <w:pPr>
      <w:numPr>
        <w:numId w:val="49"/>
      </w:numPr>
      <w:spacing w:after="140" w:line="290" w:lineRule="auto"/>
      <w:jc w:val="both"/>
    </w:pPr>
    <w:rPr>
      <w:rFonts w:ascii="Times New Roman" w:hAnsi="Times New Roman"/>
      <w:kern w:val="20"/>
      <w:szCs w:val="20"/>
      <w:lang w:eastAsia="en-US"/>
    </w:rPr>
  </w:style>
  <w:style w:type="paragraph" w:styleId="Revision">
    <w:name w:val="Revision"/>
    <w:hidden/>
    <w:semiHidden/>
    <w:rsid w:val="00876D4D"/>
    <w:rPr>
      <w:rFonts w:ascii="Arial" w:hAnsi="Arial"/>
      <w:szCs w:val="24"/>
    </w:rPr>
  </w:style>
  <w:style w:type="paragraph" w:styleId="ListParagraph">
    <w:name w:val="List Paragraph"/>
    <w:basedOn w:val="Normal"/>
    <w:qFormat/>
    <w:rsid w:val="00B21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0101">
      <w:bodyDiv w:val="1"/>
      <w:marLeft w:val="0"/>
      <w:marRight w:val="0"/>
      <w:marTop w:val="0"/>
      <w:marBottom w:val="0"/>
      <w:divBdr>
        <w:top w:val="none" w:sz="0" w:space="0" w:color="auto"/>
        <w:left w:val="none" w:sz="0" w:space="0" w:color="auto"/>
        <w:bottom w:val="none" w:sz="0" w:space="0" w:color="auto"/>
        <w:right w:val="none" w:sz="0" w:space="0" w:color="auto"/>
      </w:divBdr>
    </w:div>
    <w:div w:id="918094857">
      <w:bodyDiv w:val="1"/>
      <w:marLeft w:val="0"/>
      <w:marRight w:val="0"/>
      <w:marTop w:val="0"/>
      <w:marBottom w:val="0"/>
      <w:divBdr>
        <w:top w:val="none" w:sz="0" w:space="0" w:color="auto"/>
        <w:left w:val="none" w:sz="0" w:space="0" w:color="auto"/>
        <w:bottom w:val="none" w:sz="0" w:space="0" w:color="auto"/>
        <w:right w:val="none" w:sz="0" w:space="0" w:color="auto"/>
      </w:divBdr>
    </w:div>
    <w:div w:id="10148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glas.agency"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8784B-8955-4EC7-B816-26C139CABADC}">
  <ds:schemaRefs>
    <ds:schemaRef ds:uri="http://schemas.openxmlformats.org/officeDocument/2006/bibliography"/>
  </ds:schemaRefs>
</ds:datastoreItem>
</file>

<file path=customXml/itemProps2.xml><?xml version="1.0" encoding="utf-8"?>
<ds:datastoreItem xmlns:ds="http://schemas.openxmlformats.org/officeDocument/2006/customXml" ds:itemID="{2DA92B51-F101-4A31-BDD8-DC6DAD8B2BD9}"/>
</file>

<file path=customXml/itemProps3.xml><?xml version="1.0" encoding="utf-8"?>
<ds:datastoreItem xmlns:ds="http://schemas.openxmlformats.org/officeDocument/2006/customXml" ds:itemID="{A0F85C96-CEC1-4707-B557-03B220F20E77}"/>
</file>

<file path=customXml/itemProps4.xml><?xml version="1.0" encoding="utf-8"?>
<ds:datastoreItem xmlns:ds="http://schemas.openxmlformats.org/officeDocument/2006/customXml" ds:itemID="{06EF0CFD-341C-4C3D-90BC-C5E522DCB94A}"/>
</file>

<file path=docProps/app.xml><?xml version="1.0" encoding="utf-8"?>
<Properties xmlns="http://schemas.openxmlformats.org/officeDocument/2006/extended-properties" xmlns:vt="http://schemas.openxmlformats.org/officeDocument/2006/docPropsVTypes">
  <Template>HouseStyle.dotx</Template>
  <TotalTime>0</TotalTime>
  <Pages>3</Pages>
  <Words>1367</Words>
  <Characters>7795</Characters>
  <Application>Microsoft Office Word</Application>
  <DocSecurity>4</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HouseStyle</vt:lpstr>
      <vt:lpstr>HouseStyle</vt:lpstr>
    </vt:vector>
  </TitlesOfParts>
  <Manager/>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Francesca Zubbo</cp:lastModifiedBy>
  <cp:revision>2</cp:revision>
  <dcterms:created xsi:type="dcterms:W3CDTF">2023-10-06T10:26:00Z</dcterms:created>
  <dcterms:modified xsi:type="dcterms:W3CDTF">2023-10-06T10:26:00Z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property>
  <property fmtid="{D5CDD505-2E9C-101B-9397-08002B2CF9AE}" pid="3" name="Document Number">
    <vt:lpwstr/>
  </property>
  <property fmtid="{D5CDD505-2E9C-101B-9397-08002B2CF9AE}" pid="4" name="Last Modified">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
  </property>
  <property fmtid="{D5CDD505-2E9C-101B-9397-08002B2CF9AE}" pid="19" name="DEDocumentLocation">
    <vt:lpwstr/>
  </property>
  <property fmtid="{D5CDD505-2E9C-101B-9397-08002B2CF9AE}" pid="20" name="Matter Number">
    <vt:lpwstr/>
  </property>
  <property fmtid="{D5CDD505-2E9C-101B-9397-08002B2CF9AE}" pid="21" name="Mode">
    <vt:lpwstr>Export</vt:lpwstr>
  </property>
  <property fmtid="{D5CDD505-2E9C-101B-9397-08002B2CF9AE}" pid="22" name="ObjectID">
    <vt:lpwstr/>
  </property>
  <property fmtid="{D5CDD505-2E9C-101B-9397-08002B2CF9AE}" pid="23" name="ClassificationContentMarkingFooterShapeIds">
    <vt:lpwstr>1,2,3</vt:lpwstr>
  </property>
  <property fmtid="{D5CDD505-2E9C-101B-9397-08002B2CF9AE}" pid="24" name="ClassificationContentMarkingFooterFontProps">
    <vt:lpwstr>#000000,10,Calibri</vt:lpwstr>
  </property>
  <property fmtid="{D5CDD505-2E9C-101B-9397-08002B2CF9AE}" pid="25" name="ClassificationContentMarkingFooterText">
    <vt:lpwstr>Internal</vt:lpwstr>
  </property>
  <property fmtid="{D5CDD505-2E9C-101B-9397-08002B2CF9AE}" pid="26" name="MSIP_Label_2e952e98-911c-4aff-840a-f71bc6baaf7f_Enabled">
    <vt:lpwstr>true</vt:lpwstr>
  </property>
  <property fmtid="{D5CDD505-2E9C-101B-9397-08002B2CF9AE}" pid="27" name="MSIP_Label_2e952e98-911c-4aff-840a-f71bc6baaf7f_SetDate">
    <vt:lpwstr>2023-10-06T10:26:55Z</vt:lpwstr>
  </property>
  <property fmtid="{D5CDD505-2E9C-101B-9397-08002B2CF9AE}" pid="28" name="MSIP_Label_2e952e98-911c-4aff-840a-f71bc6baaf7f_Method">
    <vt:lpwstr>Standard</vt:lpwstr>
  </property>
  <property fmtid="{D5CDD505-2E9C-101B-9397-08002B2CF9AE}" pid="29" name="MSIP_Label_2e952e98-911c-4aff-840a-f71bc6baaf7f_Name">
    <vt:lpwstr>2e952e98-911c-4aff-840a-f71bc6baaf7f</vt:lpwstr>
  </property>
  <property fmtid="{D5CDD505-2E9C-101B-9397-08002B2CF9AE}" pid="30" name="MSIP_Label_2e952e98-911c-4aff-840a-f71bc6baaf7f_SiteId">
    <vt:lpwstr>e00ddcdf-1e0f-4be5-a37a-894a4731986a</vt:lpwstr>
  </property>
  <property fmtid="{D5CDD505-2E9C-101B-9397-08002B2CF9AE}" pid="31" name="MSIP_Label_2e952e98-911c-4aff-840a-f71bc6baaf7f_ActionId">
    <vt:lpwstr>d248b060-b4eb-4fed-bfd6-74ad47f0fe78</vt:lpwstr>
  </property>
  <property fmtid="{D5CDD505-2E9C-101B-9397-08002B2CF9AE}" pid="32" name="MSIP_Label_2e952e98-911c-4aff-840a-f71bc6baaf7f_ContentBits">
    <vt:lpwstr>2</vt:lpwstr>
  </property>
</Properties>
</file>