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C4DA0" w14:textId="74C51541" w:rsidR="00352669" w:rsidRDefault="00E42460" w:rsidP="007B3D95">
      <w:pPr>
        <w:pStyle w:val="Body"/>
        <w:jc w:val="center"/>
        <w:rPr>
          <w:b/>
        </w:rPr>
      </w:pPr>
      <w:r>
        <w:rPr>
          <w:b/>
        </w:rPr>
        <w:t xml:space="preserve">DTEK </w:t>
      </w:r>
      <w:r w:rsidR="00652BCD">
        <w:rPr>
          <w:b/>
        </w:rPr>
        <w:t>HOLDINGS</w:t>
      </w:r>
      <w:r w:rsidR="007D33C2">
        <w:rPr>
          <w:b/>
        </w:rPr>
        <w:t xml:space="preserve"> LIMITED</w:t>
      </w:r>
      <w:r w:rsidR="00D10A05">
        <w:rPr>
          <w:b/>
        </w:rPr>
        <w:t xml:space="preserve"> </w:t>
      </w:r>
      <w:r w:rsidR="00337485">
        <w:rPr>
          <w:b/>
        </w:rPr>
        <w:t>INCREASE</w:t>
      </w:r>
      <w:r w:rsidR="000876F3">
        <w:rPr>
          <w:b/>
        </w:rPr>
        <w:t xml:space="preserve">S </w:t>
      </w:r>
      <w:r w:rsidR="0046357A" w:rsidRPr="0046357A">
        <w:rPr>
          <w:b/>
        </w:rPr>
        <w:t>M</w:t>
      </w:r>
      <w:r w:rsidR="007A0FA4">
        <w:rPr>
          <w:b/>
        </w:rPr>
        <w:t>AXIMUM</w:t>
      </w:r>
      <w:r w:rsidR="0046357A" w:rsidRPr="0046357A">
        <w:rPr>
          <w:b/>
        </w:rPr>
        <w:t xml:space="preserve"> A</w:t>
      </w:r>
      <w:r w:rsidR="007A0FA4">
        <w:rPr>
          <w:b/>
        </w:rPr>
        <w:t>CCEPTANCE</w:t>
      </w:r>
      <w:r w:rsidR="0046357A" w:rsidRPr="0046357A">
        <w:rPr>
          <w:b/>
        </w:rPr>
        <w:t xml:space="preserve"> A</w:t>
      </w:r>
      <w:r w:rsidR="007A0FA4">
        <w:rPr>
          <w:b/>
        </w:rPr>
        <w:t>MOUNT</w:t>
      </w:r>
      <w:r w:rsidR="0046357A" w:rsidRPr="0046357A">
        <w:rPr>
          <w:b/>
        </w:rPr>
        <w:t xml:space="preserve"> </w:t>
      </w:r>
      <w:r w:rsidR="00337485">
        <w:rPr>
          <w:b/>
        </w:rPr>
        <w:t>AND EXTEN</w:t>
      </w:r>
      <w:r w:rsidR="000876F3">
        <w:rPr>
          <w:b/>
        </w:rPr>
        <w:t xml:space="preserve">DS </w:t>
      </w:r>
      <w:r w:rsidR="009135E9">
        <w:rPr>
          <w:b/>
        </w:rPr>
        <w:t>TENDER OFFER</w:t>
      </w:r>
    </w:p>
    <w:p w14:paraId="0751691A" w14:textId="342FBDA3" w:rsidR="00E3783A" w:rsidRPr="00E3783A" w:rsidRDefault="00E3783A" w:rsidP="000D0759">
      <w:pPr>
        <w:pStyle w:val="Body"/>
        <w:jc w:val="center"/>
        <w:rPr>
          <w:b/>
        </w:rPr>
      </w:pPr>
      <w:r w:rsidRPr="00E3783A">
        <w:rPr>
          <w:b/>
        </w:rPr>
        <w:t>7.0/7.5% Senior Secured PIK Toggle Notes due 2027</w:t>
      </w:r>
      <w:r w:rsidR="000F7953">
        <w:rPr>
          <w:b/>
        </w:rPr>
        <w:t>,</w:t>
      </w:r>
      <w:r w:rsidRPr="00E3783A">
        <w:rPr>
          <w:b/>
        </w:rPr>
        <w:t xml:space="preserve"> originally issued by DTEK Finance Plc</w:t>
      </w:r>
      <w:r w:rsidR="00B87940">
        <w:rPr>
          <w:b/>
        </w:rPr>
        <w:t>,</w:t>
      </w:r>
      <w:r w:rsidR="00B87940" w:rsidRPr="00B87940">
        <w:t xml:space="preserve"> </w:t>
      </w:r>
      <w:r w:rsidR="00B87940" w:rsidRPr="00B87940">
        <w:rPr>
          <w:b/>
        </w:rPr>
        <w:t>with DTEK Energy B.V. as successor issuer to DTEK Finance plc</w:t>
      </w:r>
    </w:p>
    <w:p w14:paraId="5939D154" w14:textId="39B7C605" w:rsidR="00E3783A" w:rsidRPr="00E3783A" w:rsidRDefault="00E3783A" w:rsidP="000D0759">
      <w:pPr>
        <w:pStyle w:val="Body"/>
        <w:jc w:val="center"/>
        <w:rPr>
          <w:b/>
        </w:rPr>
      </w:pPr>
      <w:r w:rsidRPr="00E3783A">
        <w:rPr>
          <w:b/>
        </w:rPr>
        <w:t>ISIN</w:t>
      </w:r>
      <w:r w:rsidR="00747CD7">
        <w:rPr>
          <w:b/>
        </w:rPr>
        <w:t xml:space="preserve">: </w:t>
      </w:r>
      <w:r w:rsidRPr="00E3783A">
        <w:rPr>
          <w:b/>
        </w:rPr>
        <w:t>XS2342930521</w:t>
      </w:r>
    </w:p>
    <w:p w14:paraId="6C042D57" w14:textId="1A2056EA" w:rsidR="00E3783A" w:rsidRPr="00352669" w:rsidRDefault="00E3783A" w:rsidP="000D0759">
      <w:pPr>
        <w:pStyle w:val="Body"/>
        <w:jc w:val="center"/>
        <w:rPr>
          <w:b/>
        </w:rPr>
      </w:pPr>
      <w:r w:rsidRPr="00E3783A">
        <w:rPr>
          <w:b/>
        </w:rPr>
        <w:t>(the “Notes”)</w:t>
      </w:r>
    </w:p>
    <w:p w14:paraId="7CAAC47E" w14:textId="0C688774" w:rsidR="00352669" w:rsidRDefault="00A5447E" w:rsidP="00C8074E">
      <w:pPr>
        <w:pStyle w:val="Body"/>
        <w:rPr>
          <w:b/>
        </w:rPr>
      </w:pPr>
      <w:r w:rsidRPr="00FA6007">
        <w:rPr>
          <w:rFonts w:cs="Arial"/>
          <w:b/>
          <w:bCs/>
        </w:rPr>
        <w:t>20</w:t>
      </w:r>
      <w:r w:rsidR="00F832E3">
        <w:rPr>
          <w:b/>
        </w:rPr>
        <w:t xml:space="preserve"> March 2023</w:t>
      </w:r>
    </w:p>
    <w:p w14:paraId="78845B9C" w14:textId="2DC33C06" w:rsidR="0082116D" w:rsidRDefault="0082116D" w:rsidP="00835496">
      <w:pPr>
        <w:pStyle w:val="Body"/>
      </w:pPr>
      <w:r w:rsidRPr="0082116D">
        <w:t xml:space="preserve">This announcement is being made in connection with the Tender Offer </w:t>
      </w:r>
      <w:r w:rsidR="0061323D" w:rsidRPr="0061323D">
        <w:t xml:space="preserve">previously </w:t>
      </w:r>
      <w:r w:rsidRPr="0082116D">
        <w:t>announced by DTEK Holdings Limited (the “</w:t>
      </w:r>
      <w:r w:rsidRPr="00D3778C">
        <w:rPr>
          <w:b/>
          <w:bCs/>
        </w:rPr>
        <w:t>Offeror</w:t>
      </w:r>
      <w:r w:rsidRPr="0082116D">
        <w:t xml:space="preserve">”) pursuant to the </w:t>
      </w:r>
      <w:r w:rsidR="00747CD7" w:rsidRPr="00976880">
        <w:t xml:space="preserve">tender offer memorandum dated </w:t>
      </w:r>
      <w:r w:rsidR="00747CD7">
        <w:t>6 March 2023</w:t>
      </w:r>
      <w:r w:rsidR="00747CD7" w:rsidRPr="00976880">
        <w:t xml:space="preserve"> (the “</w:t>
      </w:r>
      <w:r w:rsidR="00747CD7">
        <w:rPr>
          <w:b/>
          <w:bCs/>
        </w:rPr>
        <w:t xml:space="preserve">Tender Offer </w:t>
      </w:r>
      <w:r w:rsidR="00747CD7" w:rsidRPr="00976880">
        <w:rPr>
          <w:b/>
          <w:bCs/>
        </w:rPr>
        <w:t>Memorandum</w:t>
      </w:r>
      <w:r w:rsidR="00747CD7" w:rsidRPr="00976880">
        <w:t>”)</w:t>
      </w:r>
      <w:r w:rsidRPr="0082116D">
        <w:t>. Capitalised terms used in this announcement but not otherwise defined have the meanings given to them in the Tender Offer Memorandum.</w:t>
      </w:r>
    </w:p>
    <w:p w14:paraId="1D29C2B5" w14:textId="00E37E95" w:rsidR="00C14292" w:rsidRDefault="00A25310" w:rsidP="005E66F5">
      <w:pPr>
        <w:pStyle w:val="Body"/>
      </w:pPr>
      <w:r>
        <w:t>T</w:t>
      </w:r>
      <w:r w:rsidR="00C14292" w:rsidRPr="00C14292">
        <w:t xml:space="preserve">he </w:t>
      </w:r>
      <w:r w:rsidRPr="00A25310">
        <w:t>Offeror</w:t>
      </w:r>
      <w:r w:rsidR="00C14292" w:rsidRPr="00C14292">
        <w:t xml:space="preserve"> </w:t>
      </w:r>
      <w:r w:rsidR="00295D0A" w:rsidRPr="00295D0A">
        <w:t xml:space="preserve">announced today </w:t>
      </w:r>
      <w:r w:rsidR="00295D0A">
        <w:t xml:space="preserve">that it </w:t>
      </w:r>
      <w:r w:rsidR="00C14292" w:rsidRPr="00C14292">
        <w:t xml:space="preserve">has exercised its right, in accordance with the terms and conditions set out in the </w:t>
      </w:r>
      <w:r w:rsidR="00956E0C" w:rsidRPr="00956E0C">
        <w:t>Tender Offer Memorandum</w:t>
      </w:r>
      <w:r w:rsidR="00C14292" w:rsidRPr="00C14292">
        <w:t xml:space="preserve">, to </w:t>
      </w:r>
      <w:r w:rsidR="00803360" w:rsidRPr="00803360">
        <w:t xml:space="preserve">increase </w:t>
      </w:r>
      <w:r w:rsidR="003C73F9">
        <w:t xml:space="preserve">the </w:t>
      </w:r>
      <w:r w:rsidR="00803360" w:rsidRPr="00803360">
        <w:t>Maximum Acceptance Amount</w:t>
      </w:r>
      <w:r w:rsidR="00803360">
        <w:t xml:space="preserve"> </w:t>
      </w:r>
      <w:r w:rsidR="00851D90" w:rsidRPr="00851D90">
        <w:t xml:space="preserve">for the Tender Offer </w:t>
      </w:r>
      <w:r w:rsidR="00803360">
        <w:t xml:space="preserve">to </w:t>
      </w:r>
      <w:r w:rsidR="001B5DA5" w:rsidRPr="001B5DA5">
        <w:t>U.S.$</w:t>
      </w:r>
      <w:r w:rsidR="00A57BBB">
        <w:t>80</w:t>
      </w:r>
      <w:r w:rsidR="00FA6007">
        <w:t>,</w:t>
      </w:r>
      <w:r w:rsidR="00A57BBB">
        <w:t>000</w:t>
      </w:r>
      <w:r w:rsidR="00FA6007">
        <w:t>,</w:t>
      </w:r>
      <w:r w:rsidR="00A57BBB">
        <w:t>000</w:t>
      </w:r>
      <w:r w:rsidR="00C14292" w:rsidRPr="00C14292">
        <w:t>.</w:t>
      </w:r>
      <w:r w:rsidR="00B577B6">
        <w:t xml:space="preserve"> </w:t>
      </w:r>
      <w:r w:rsidR="00F1378D" w:rsidRPr="00F1378D">
        <w:t>The decision by the Offeror to increase the Maximum Acceptance Amount has been made in response to a high amount of Tender Instructions submitted by investors</w:t>
      </w:r>
      <w:r w:rsidR="00311DEF">
        <w:t>.</w:t>
      </w:r>
    </w:p>
    <w:p w14:paraId="203CE316" w14:textId="56BC529D" w:rsidR="00744F84" w:rsidRDefault="003B2E12" w:rsidP="005E66F5">
      <w:pPr>
        <w:pStyle w:val="Body"/>
      </w:pPr>
      <w:r w:rsidRPr="003B2E12">
        <w:t xml:space="preserve">The Offeror </w:t>
      </w:r>
      <w:r w:rsidR="0038082C">
        <w:t xml:space="preserve">has also </w:t>
      </w:r>
      <w:r w:rsidR="00B72140">
        <w:t>extended</w:t>
      </w:r>
      <w:r w:rsidR="00960CFE">
        <w:t xml:space="preserve"> </w:t>
      </w:r>
      <w:r w:rsidR="00960CFE" w:rsidRPr="00960CFE">
        <w:t>the Expiration Deadline for the Tender Offer</w:t>
      </w:r>
      <w:r w:rsidR="00B72140">
        <w:t xml:space="preserve"> to </w:t>
      </w:r>
      <w:r w:rsidR="00744F84" w:rsidRPr="00D925BC">
        <w:rPr>
          <w:b/>
          <w:bCs/>
        </w:rPr>
        <w:t xml:space="preserve">5:00 p.m. (London time) on </w:t>
      </w:r>
      <w:r w:rsidR="00A57BBB">
        <w:rPr>
          <w:b/>
          <w:bCs/>
        </w:rPr>
        <w:t>23</w:t>
      </w:r>
      <w:r w:rsidR="00CC2ACD" w:rsidRPr="00D925BC">
        <w:rPr>
          <w:b/>
          <w:bCs/>
        </w:rPr>
        <w:t xml:space="preserve"> March 2023</w:t>
      </w:r>
      <w:r w:rsidR="005E33DB">
        <w:t>.</w:t>
      </w:r>
      <w:r w:rsidR="00B72140">
        <w:t xml:space="preserve">  </w:t>
      </w:r>
      <w:r w:rsidR="0068562D" w:rsidRPr="0068562D">
        <w:t>The Offeror will announce the</w:t>
      </w:r>
      <w:r w:rsidR="0068562D">
        <w:t xml:space="preserve"> final results of the Tender Offer </w:t>
      </w:r>
      <w:r w:rsidR="00C71E56">
        <w:t xml:space="preserve">on or about </w:t>
      </w:r>
      <w:r w:rsidR="00A57BBB">
        <w:t>24</w:t>
      </w:r>
      <w:r w:rsidR="00C71E56" w:rsidRPr="00C71E56">
        <w:t xml:space="preserve"> March 2023</w:t>
      </w:r>
      <w:r w:rsidR="00C71E56">
        <w:t>.</w:t>
      </w:r>
      <w:r w:rsidR="00B72140">
        <w:t xml:space="preserve">  </w:t>
      </w:r>
      <w:r w:rsidR="00C71E56" w:rsidRPr="00C71E56">
        <w:t xml:space="preserve">The </w:t>
      </w:r>
      <w:r w:rsidR="0097073F" w:rsidRPr="0097073F">
        <w:t xml:space="preserve">expected </w:t>
      </w:r>
      <w:r w:rsidR="00C71E56" w:rsidRPr="00C71E56">
        <w:t xml:space="preserve">Settlement Date is on or about </w:t>
      </w:r>
      <w:r w:rsidR="00A57BBB">
        <w:t>14</w:t>
      </w:r>
      <w:r w:rsidR="00C71E56" w:rsidRPr="00C71E56">
        <w:t xml:space="preserve"> April 2023.</w:t>
      </w:r>
    </w:p>
    <w:p w14:paraId="113B42F8" w14:textId="4A885998" w:rsidR="003F548C" w:rsidRDefault="003F548C" w:rsidP="005411F0">
      <w:pPr>
        <w:pStyle w:val="Body"/>
        <w:contextualSpacing/>
      </w:pPr>
      <w:r>
        <w:t xml:space="preserve">If you need further information about </w:t>
      </w:r>
      <w:r w:rsidR="00075AFB">
        <w:t>the</w:t>
      </w:r>
      <w:r>
        <w:t xml:space="preserve"> </w:t>
      </w:r>
      <w:r w:rsidR="002D42F7">
        <w:t xml:space="preserve">Tender </w:t>
      </w:r>
      <w:r>
        <w:t xml:space="preserve">Offer, please contact the </w:t>
      </w:r>
      <w:r w:rsidR="00075AFB">
        <w:t xml:space="preserve">Tender </w:t>
      </w:r>
      <w:r w:rsidR="00315357">
        <w:t>Agent</w:t>
      </w:r>
      <w:r w:rsidR="001709A3">
        <w:t xml:space="preserve"> or </w:t>
      </w:r>
      <w:r w:rsidR="008B3489">
        <w:t>the Offeror</w:t>
      </w:r>
      <w:r>
        <w:t>.</w:t>
      </w:r>
      <w:r w:rsidR="00C11771">
        <w:t xml:space="preserve"> </w:t>
      </w:r>
    </w:p>
    <w:p w14:paraId="32189A4A" w14:textId="77777777" w:rsidR="00EB2CE4" w:rsidRDefault="00EB2CE4" w:rsidP="00071B97">
      <w:pPr>
        <w:pStyle w:val="Body"/>
        <w:contextualSpacing/>
        <w:jc w:val="left"/>
        <w:rPr>
          <w:b/>
          <w:bCs/>
        </w:rPr>
      </w:pPr>
    </w:p>
    <w:p w14:paraId="39C84F0D" w14:textId="1EEE2BF2" w:rsidR="00071B97" w:rsidRDefault="00623A81" w:rsidP="00071B97">
      <w:pPr>
        <w:pStyle w:val="Body"/>
        <w:jc w:val="left"/>
        <w:rPr>
          <w:b/>
          <w:bCs/>
        </w:rPr>
      </w:pPr>
      <w:r w:rsidRPr="00A407EB">
        <w:rPr>
          <w:b/>
          <w:bCs/>
        </w:rPr>
        <w:t>Contact Details</w:t>
      </w:r>
      <w:r w:rsidRPr="00290B22">
        <w:rPr>
          <w:b/>
          <w:bCs/>
        </w:rPr>
        <w:t>:</w:t>
      </w:r>
    </w:p>
    <w:p w14:paraId="1463F48B" w14:textId="3A326137" w:rsidR="00623A81" w:rsidRPr="00071B97" w:rsidRDefault="00623A81" w:rsidP="00071B97">
      <w:pPr>
        <w:pStyle w:val="Body"/>
        <w:jc w:val="left"/>
        <w:rPr>
          <w:b/>
          <w:bCs/>
        </w:rPr>
      </w:pPr>
      <w:r w:rsidRPr="00EE23DA">
        <w:rPr>
          <w:b/>
          <w:spacing w:val="3"/>
        </w:rPr>
        <w:t xml:space="preserve">THE </w:t>
      </w:r>
      <w:r w:rsidR="00F71FC5">
        <w:rPr>
          <w:b/>
          <w:spacing w:val="3"/>
        </w:rPr>
        <w:t xml:space="preserve">TENDER </w:t>
      </w:r>
      <w:r w:rsidRPr="00EE23DA">
        <w:rPr>
          <w:b/>
          <w:spacing w:val="3"/>
        </w:rPr>
        <w:t>AGENT</w:t>
      </w:r>
    </w:p>
    <w:p w14:paraId="53A3069E" w14:textId="77777777" w:rsidR="00791511" w:rsidRPr="00791511" w:rsidRDefault="00791511" w:rsidP="00951700">
      <w:pPr>
        <w:pStyle w:val="Body"/>
        <w:spacing w:after="0"/>
        <w:jc w:val="left"/>
        <w:rPr>
          <w:b/>
          <w:iCs/>
          <w:spacing w:val="3"/>
          <w:lang w:val="en-US"/>
        </w:rPr>
      </w:pPr>
      <w:r w:rsidRPr="00791511">
        <w:rPr>
          <w:b/>
          <w:iCs/>
          <w:spacing w:val="3"/>
          <w:lang w:val="en-US"/>
        </w:rPr>
        <w:t>GLAS Specialist Services Limited</w:t>
      </w:r>
    </w:p>
    <w:p w14:paraId="51B93506" w14:textId="3A330DBE" w:rsidR="00951700" w:rsidRPr="00951700" w:rsidRDefault="00951700" w:rsidP="00951700">
      <w:pPr>
        <w:pStyle w:val="Body"/>
        <w:spacing w:after="0"/>
        <w:jc w:val="left"/>
        <w:rPr>
          <w:bCs/>
          <w:iCs/>
          <w:spacing w:val="3"/>
          <w:lang w:val="en-US"/>
        </w:rPr>
      </w:pPr>
      <w:r w:rsidRPr="00951700">
        <w:rPr>
          <w:bCs/>
          <w:iCs/>
          <w:spacing w:val="3"/>
          <w:lang w:val="en-US"/>
        </w:rPr>
        <w:t>Telephone: +44 (0) 20 3597 2940</w:t>
      </w:r>
    </w:p>
    <w:p w14:paraId="493412A0" w14:textId="6C5CFF41" w:rsidR="00951700" w:rsidRPr="00951700" w:rsidRDefault="00951700" w:rsidP="00951700">
      <w:pPr>
        <w:pStyle w:val="Body"/>
        <w:spacing w:after="0"/>
        <w:jc w:val="left"/>
        <w:rPr>
          <w:bCs/>
          <w:iCs/>
          <w:spacing w:val="3"/>
          <w:lang w:val="en-US"/>
        </w:rPr>
      </w:pPr>
      <w:r w:rsidRPr="00951700">
        <w:rPr>
          <w:bCs/>
          <w:iCs/>
          <w:spacing w:val="3"/>
          <w:lang w:val="en-US"/>
        </w:rPr>
        <w:t xml:space="preserve">Attention: </w:t>
      </w:r>
      <w:r w:rsidR="00E066BF" w:rsidRPr="00E066BF">
        <w:rPr>
          <w:bCs/>
          <w:iCs/>
          <w:spacing w:val="3"/>
          <w:lang w:val="en-US"/>
        </w:rPr>
        <w:t xml:space="preserve">DCM Liability Management – DTEK Tender </w:t>
      </w:r>
    </w:p>
    <w:p w14:paraId="115C11D9" w14:textId="09394650" w:rsidR="00951700" w:rsidRDefault="00951700" w:rsidP="00951700">
      <w:pPr>
        <w:pStyle w:val="Body"/>
        <w:spacing w:after="0"/>
        <w:rPr>
          <w:bCs/>
          <w:iCs/>
          <w:spacing w:val="3"/>
          <w:lang w:val="en-US"/>
        </w:rPr>
      </w:pPr>
      <w:r w:rsidRPr="00951700">
        <w:rPr>
          <w:bCs/>
          <w:iCs/>
          <w:spacing w:val="3"/>
          <w:lang w:val="en-US"/>
        </w:rPr>
        <w:t xml:space="preserve">Email: </w:t>
      </w:r>
      <w:hyperlink r:id="rId8" w:history="1">
        <w:r w:rsidRPr="00071B97">
          <w:rPr>
            <w:rStyle w:val="Hyperlink"/>
            <w:bCs/>
            <w:iCs/>
            <w:color w:val="auto"/>
            <w:spacing w:val="3"/>
            <w:lang w:val="en-US"/>
          </w:rPr>
          <w:t>lm@glas.agency</w:t>
        </w:r>
      </w:hyperlink>
    </w:p>
    <w:p w14:paraId="4DAC173A" w14:textId="4D6B2C62" w:rsidR="00623A81" w:rsidRDefault="00951700" w:rsidP="002C642D">
      <w:pPr>
        <w:pStyle w:val="Body"/>
        <w:rPr>
          <w:b/>
          <w:spacing w:val="3"/>
        </w:rPr>
      </w:pPr>
      <w:r w:rsidRPr="00951700">
        <w:rPr>
          <w:bCs/>
          <w:iCs/>
          <w:spacing w:val="3"/>
          <w:lang w:val="en-US"/>
        </w:rPr>
        <w:br/>
      </w:r>
      <w:r w:rsidR="00623A81" w:rsidRPr="00EE23DA">
        <w:rPr>
          <w:b/>
          <w:spacing w:val="3"/>
        </w:rPr>
        <w:t xml:space="preserve">THE </w:t>
      </w:r>
      <w:r w:rsidR="001709A3">
        <w:rPr>
          <w:b/>
          <w:spacing w:val="3"/>
        </w:rPr>
        <w:t>OFFEROR</w:t>
      </w:r>
    </w:p>
    <w:p w14:paraId="6ADABE0F" w14:textId="77777777" w:rsidR="00B27539" w:rsidRDefault="00C544DE" w:rsidP="00425F1B">
      <w:pPr>
        <w:spacing w:line="276" w:lineRule="auto"/>
        <w:rPr>
          <w:b/>
          <w:bCs/>
          <w:spacing w:val="3"/>
          <w:kern w:val="20"/>
        </w:rPr>
      </w:pPr>
      <w:r>
        <w:rPr>
          <w:b/>
          <w:bCs/>
          <w:spacing w:val="3"/>
          <w:kern w:val="20"/>
        </w:rPr>
        <w:t xml:space="preserve">DTEK </w:t>
      </w:r>
      <w:r w:rsidR="00B27539">
        <w:rPr>
          <w:b/>
          <w:bCs/>
          <w:spacing w:val="3"/>
          <w:kern w:val="20"/>
        </w:rPr>
        <w:t>Holdings Limited</w:t>
      </w:r>
    </w:p>
    <w:p w14:paraId="55C48DBC" w14:textId="77777777" w:rsidR="00425F1B" w:rsidRPr="00425F1B" w:rsidRDefault="00425F1B" w:rsidP="00425F1B">
      <w:pPr>
        <w:spacing w:line="276" w:lineRule="auto"/>
        <w:jc w:val="both"/>
        <w:rPr>
          <w:spacing w:val="3"/>
          <w:kern w:val="20"/>
        </w:rPr>
      </w:pPr>
      <w:r w:rsidRPr="00425F1B">
        <w:rPr>
          <w:spacing w:val="3"/>
          <w:kern w:val="20"/>
        </w:rPr>
        <w:t xml:space="preserve">Themistokli Dervi, 3, Julia House </w:t>
      </w:r>
    </w:p>
    <w:p w14:paraId="0E63AD02" w14:textId="0332CE9F" w:rsidR="001374C1" w:rsidRDefault="00425F1B" w:rsidP="00EB2CE4">
      <w:pPr>
        <w:spacing w:line="276" w:lineRule="auto"/>
        <w:jc w:val="both"/>
        <w:rPr>
          <w:rFonts w:eastAsiaTheme="majorEastAsia" w:cstheme="majorBidi"/>
          <w:b/>
          <w:bCs/>
          <w:color w:val="000000" w:themeColor="text1"/>
          <w:spacing w:val="3"/>
          <w:kern w:val="20"/>
          <w:szCs w:val="26"/>
        </w:rPr>
      </w:pPr>
      <w:r w:rsidRPr="00425F1B">
        <w:rPr>
          <w:spacing w:val="3"/>
          <w:kern w:val="20"/>
        </w:rPr>
        <w:t>1066 Nicosia, Cyprus</w:t>
      </w:r>
      <w:r w:rsidRPr="00425F1B">
        <w:rPr>
          <w:rFonts w:eastAsiaTheme="majorEastAsia" w:cstheme="majorBidi"/>
          <w:b/>
          <w:bCs/>
          <w:color w:val="000000" w:themeColor="text1"/>
          <w:spacing w:val="3"/>
          <w:kern w:val="20"/>
          <w:szCs w:val="26"/>
        </w:rPr>
        <w:t xml:space="preserve"> </w:t>
      </w:r>
    </w:p>
    <w:p w14:paraId="4F2D5CA3" w14:textId="77777777" w:rsidR="00EB2CE4" w:rsidRPr="00EB2CE4" w:rsidRDefault="00EB2CE4" w:rsidP="00EB2CE4">
      <w:pPr>
        <w:spacing w:line="276" w:lineRule="auto"/>
        <w:jc w:val="both"/>
        <w:rPr>
          <w:rFonts w:eastAsiaTheme="majorEastAsia" w:cstheme="majorBidi"/>
          <w:b/>
          <w:bCs/>
          <w:color w:val="000000" w:themeColor="text1"/>
          <w:spacing w:val="3"/>
          <w:kern w:val="20"/>
          <w:szCs w:val="26"/>
        </w:rPr>
      </w:pPr>
    </w:p>
    <w:p w14:paraId="20B2DC79" w14:textId="73FB6522" w:rsidR="004508D5" w:rsidRPr="00E34A60" w:rsidRDefault="00E34A60" w:rsidP="00425F1B">
      <w:pPr>
        <w:spacing w:after="200" w:line="276" w:lineRule="auto"/>
        <w:jc w:val="both"/>
        <w:rPr>
          <w:rFonts w:eastAsiaTheme="majorEastAsia" w:cstheme="majorBidi"/>
          <w:b/>
          <w:bCs/>
          <w:color w:val="000000" w:themeColor="text1"/>
          <w:szCs w:val="26"/>
        </w:rPr>
      </w:pPr>
      <w:r w:rsidRPr="00B77E9D">
        <w:rPr>
          <w:rFonts w:eastAsiaTheme="majorEastAsia" w:cstheme="majorBidi"/>
          <w:b/>
          <w:bCs/>
          <w:color w:val="000000" w:themeColor="text1"/>
          <w:szCs w:val="26"/>
        </w:rPr>
        <w:t>DISCLAIMER</w:t>
      </w:r>
    </w:p>
    <w:p w14:paraId="459092AC" w14:textId="033F3940" w:rsidR="003421B6" w:rsidRPr="003B687C" w:rsidRDefault="003421B6" w:rsidP="003421B6">
      <w:pPr>
        <w:spacing w:after="200" w:line="276" w:lineRule="auto"/>
        <w:jc w:val="both"/>
        <w:rPr>
          <w:rFonts w:asciiTheme="minorHAnsi" w:eastAsiaTheme="majorEastAsia" w:hAnsiTheme="minorHAnsi" w:cstheme="minorHAnsi"/>
          <w:bCs/>
          <w:color w:val="000000" w:themeColor="text1"/>
          <w:szCs w:val="26"/>
        </w:rPr>
      </w:pPr>
      <w:r w:rsidRPr="003421B6">
        <w:rPr>
          <w:rFonts w:eastAsiaTheme="majorEastAsia" w:cstheme="majorBidi"/>
          <w:bCs/>
          <w:color w:val="000000" w:themeColor="text1"/>
          <w:szCs w:val="26"/>
        </w:rPr>
        <w:t xml:space="preserve">This </w:t>
      </w:r>
      <w:r w:rsidR="00FE2863" w:rsidRPr="00FE2863">
        <w:rPr>
          <w:rFonts w:eastAsiaTheme="majorEastAsia" w:cstheme="majorBidi"/>
          <w:bCs/>
          <w:color w:val="000000" w:themeColor="text1"/>
          <w:szCs w:val="26"/>
        </w:rPr>
        <w:t xml:space="preserve">announcement must be read in conjunction with the Tender Offer Memorandum. No offer or invitation to acquire or exchange any securities is being made pursuant to this announcement. This announcement and the Tender Offer Memorandum contain important information, which must be read carefully before any decision is made with respect to the Tender Offer. If any Noteholder is in any doubt as to the action it should take, it is recommended to seek its own legal, tax and financial advice, including as to any tax consequences, from its stockbroker, bank manager, solicitor, accountant or other independent financial adviser. Any individual or company whose Notes are held on its behalf by a broker, dealer, bank, custodian, trust company or other nominee must contact such entity if it wishes to participate in the Tender Offer. None of the Offeror, the Tender Agent or </w:t>
      </w:r>
      <w:r w:rsidR="00FE2863" w:rsidRPr="00FE2863">
        <w:rPr>
          <w:rFonts w:eastAsiaTheme="majorEastAsia" w:cstheme="majorBidi"/>
          <w:bCs/>
          <w:color w:val="000000" w:themeColor="text1"/>
          <w:szCs w:val="26"/>
        </w:rPr>
        <w:lastRenderedPageBreak/>
        <w:t>their respective directors, employees or affiliates makes any recommendation as to whether Noteholders should tender their Notes and none of the Offeror</w:t>
      </w:r>
      <w:r w:rsidR="002A35E4">
        <w:rPr>
          <w:rFonts w:eastAsiaTheme="majorEastAsia" w:cstheme="majorBidi"/>
          <w:bCs/>
          <w:color w:val="000000" w:themeColor="text1"/>
          <w:szCs w:val="26"/>
        </w:rPr>
        <w:t xml:space="preserve"> </w:t>
      </w:r>
      <w:r w:rsidR="00FE2863" w:rsidRPr="00FE2863">
        <w:rPr>
          <w:rFonts w:eastAsiaTheme="majorEastAsia" w:cstheme="majorBidi"/>
          <w:bCs/>
          <w:color w:val="000000" w:themeColor="text1"/>
          <w:szCs w:val="26"/>
        </w:rPr>
        <w:t xml:space="preserve">or the Tender Agent will have </w:t>
      </w:r>
      <w:r w:rsidR="00FE2863" w:rsidRPr="003B687C">
        <w:rPr>
          <w:rFonts w:asciiTheme="minorHAnsi" w:eastAsiaTheme="majorEastAsia" w:hAnsiTheme="minorHAnsi" w:cstheme="minorHAnsi"/>
          <w:bCs/>
          <w:color w:val="000000" w:themeColor="text1"/>
          <w:szCs w:val="26"/>
        </w:rPr>
        <w:t>any liability or responsibility in respect thereto</w:t>
      </w:r>
      <w:r w:rsidRPr="003B687C">
        <w:rPr>
          <w:rFonts w:asciiTheme="minorHAnsi" w:eastAsiaTheme="majorEastAsia" w:hAnsiTheme="minorHAnsi" w:cstheme="minorHAnsi"/>
          <w:bCs/>
          <w:color w:val="000000" w:themeColor="text1"/>
          <w:szCs w:val="26"/>
        </w:rPr>
        <w:t xml:space="preserve">. </w:t>
      </w:r>
    </w:p>
    <w:p w14:paraId="5657AF0B" w14:textId="3E490376" w:rsidR="003421B6" w:rsidRPr="003B687C" w:rsidRDefault="003421B6" w:rsidP="003421B6">
      <w:pPr>
        <w:spacing w:after="200" w:line="276" w:lineRule="auto"/>
        <w:jc w:val="both"/>
        <w:rPr>
          <w:rFonts w:asciiTheme="minorHAnsi" w:eastAsiaTheme="majorEastAsia" w:hAnsiTheme="minorHAnsi" w:cstheme="minorHAnsi"/>
          <w:bCs/>
          <w:color w:val="000000" w:themeColor="text1"/>
          <w:szCs w:val="26"/>
        </w:rPr>
      </w:pPr>
      <w:r w:rsidRPr="003B687C">
        <w:rPr>
          <w:rFonts w:asciiTheme="minorHAnsi" w:eastAsiaTheme="majorEastAsia" w:hAnsiTheme="minorHAnsi" w:cstheme="minorHAnsi"/>
          <w:bCs/>
          <w:color w:val="000000" w:themeColor="text1"/>
          <w:szCs w:val="26"/>
        </w:rPr>
        <w:t xml:space="preserve">This </w:t>
      </w:r>
      <w:r w:rsidR="00E82430" w:rsidRPr="003B687C">
        <w:rPr>
          <w:rFonts w:asciiTheme="minorHAnsi" w:eastAsiaTheme="majorEastAsia" w:hAnsiTheme="minorHAnsi" w:cstheme="minorHAnsi"/>
          <w:bCs/>
          <w:color w:val="000000" w:themeColor="text1"/>
          <w:szCs w:val="26"/>
        </w:rPr>
        <w:t xml:space="preserve">announcement is released by the Offeror </w:t>
      </w:r>
      <w:r w:rsidR="004A4AC0">
        <w:rPr>
          <w:rFonts w:asciiTheme="minorHAnsi" w:eastAsiaTheme="majorEastAsia" w:hAnsiTheme="minorHAnsi" w:cstheme="minorHAnsi"/>
          <w:bCs/>
          <w:color w:val="000000" w:themeColor="text1"/>
          <w:szCs w:val="26"/>
        </w:rPr>
        <w:t xml:space="preserve">and </w:t>
      </w:r>
      <w:r w:rsidR="00E82430" w:rsidRPr="003B687C">
        <w:rPr>
          <w:rFonts w:asciiTheme="minorHAnsi" w:eastAsiaTheme="majorEastAsia" w:hAnsiTheme="minorHAnsi" w:cstheme="minorHAnsi"/>
          <w:bCs/>
          <w:color w:val="000000" w:themeColor="text1"/>
          <w:szCs w:val="26"/>
        </w:rPr>
        <w:t>contains information that qualified or may have qualified as inside information for the purposes of Article 7 of the Market Abuse Regulation (EU) 596/2014 (“</w:t>
      </w:r>
      <w:r w:rsidR="00E82430" w:rsidRPr="003B687C">
        <w:rPr>
          <w:rFonts w:asciiTheme="minorHAnsi" w:eastAsiaTheme="majorEastAsia" w:hAnsiTheme="minorHAnsi" w:cstheme="minorHAnsi"/>
          <w:b/>
          <w:color w:val="000000" w:themeColor="text1"/>
          <w:szCs w:val="26"/>
        </w:rPr>
        <w:t>MAR</w:t>
      </w:r>
      <w:r w:rsidR="00E82430" w:rsidRPr="003B687C">
        <w:rPr>
          <w:rFonts w:asciiTheme="minorHAnsi" w:eastAsiaTheme="majorEastAsia" w:hAnsiTheme="minorHAnsi" w:cstheme="minorHAnsi"/>
          <w:bCs/>
          <w:color w:val="000000" w:themeColor="text1"/>
          <w:szCs w:val="26"/>
        </w:rPr>
        <w:t>”), encompassing information relating to the Tender Offer described above. For the purposes of MAR and Article 2 of Commission Implementing Regulation (EU) 2016/1055, this announcement is made by the Directors of the Offeror</w:t>
      </w:r>
      <w:r w:rsidRPr="003B687C">
        <w:rPr>
          <w:rFonts w:asciiTheme="minorHAnsi" w:eastAsiaTheme="majorEastAsia" w:hAnsiTheme="minorHAnsi" w:cstheme="minorHAnsi"/>
          <w:bCs/>
          <w:color w:val="000000" w:themeColor="text1"/>
          <w:szCs w:val="26"/>
        </w:rPr>
        <w:t>.</w:t>
      </w:r>
    </w:p>
    <w:p w14:paraId="0528BAB3" w14:textId="4F4C7828" w:rsidR="004508D5" w:rsidRPr="003B687C" w:rsidRDefault="004508D5" w:rsidP="004508D5">
      <w:pPr>
        <w:spacing w:after="200" w:line="276" w:lineRule="auto"/>
        <w:jc w:val="both"/>
        <w:rPr>
          <w:rFonts w:asciiTheme="minorHAnsi" w:hAnsiTheme="minorHAnsi" w:cstheme="minorHAnsi"/>
          <w:b/>
          <w:bCs/>
        </w:rPr>
      </w:pPr>
      <w:r w:rsidRPr="003B687C">
        <w:rPr>
          <w:rFonts w:asciiTheme="minorHAnsi" w:hAnsiTheme="minorHAnsi" w:cstheme="minorHAnsi"/>
          <w:b/>
          <w:bCs/>
        </w:rPr>
        <w:t>OFFER AND DISTRIBUTION RESTRICTIONS</w:t>
      </w:r>
    </w:p>
    <w:p w14:paraId="4671F6F2" w14:textId="77777777" w:rsidR="004508D5" w:rsidRPr="003B687C" w:rsidRDefault="004508D5" w:rsidP="004508D5">
      <w:pPr>
        <w:rPr>
          <w:rFonts w:asciiTheme="minorHAnsi" w:hAnsiTheme="minorHAnsi" w:cstheme="minorHAnsi"/>
          <w:b/>
          <w:bCs/>
        </w:rPr>
      </w:pPr>
    </w:p>
    <w:p w14:paraId="068F0FF7" w14:textId="77777777" w:rsidR="004508D5" w:rsidRPr="003B687C" w:rsidRDefault="004508D5" w:rsidP="004508D5">
      <w:pPr>
        <w:pStyle w:val="Body"/>
        <w:rPr>
          <w:rFonts w:asciiTheme="minorHAnsi" w:hAnsiTheme="minorHAnsi" w:cstheme="minorHAnsi"/>
          <w:b/>
          <w:bCs/>
        </w:rPr>
      </w:pPr>
      <w:r w:rsidRPr="003B687C">
        <w:rPr>
          <w:rFonts w:asciiTheme="minorHAnsi" w:hAnsiTheme="minorHAnsi" w:cstheme="minorHAnsi"/>
          <w:b/>
          <w:bCs/>
        </w:rPr>
        <w:t xml:space="preserve">NOT FOR DISTRIBUTION IN OR INTO OR TO ANY PERSON LOCATED OR RESIDENT IN ANY JURISDICTION WHERE IT IS UNLAWFUL TO RELEASE, PUBLISH OR DISTRIBUTE THIS ANNOUNCEMENT. </w:t>
      </w:r>
    </w:p>
    <w:p w14:paraId="39642D47" w14:textId="77777777" w:rsidR="004508D5" w:rsidRPr="00A57BBB" w:rsidRDefault="004508D5" w:rsidP="004508D5">
      <w:pPr>
        <w:spacing w:after="200" w:line="276" w:lineRule="auto"/>
        <w:jc w:val="both"/>
        <w:rPr>
          <w:rFonts w:asciiTheme="minorHAnsi" w:eastAsiaTheme="majorEastAsia" w:hAnsiTheme="minorHAnsi" w:cstheme="minorHAnsi"/>
          <w:b/>
          <w:bCs/>
          <w:color w:val="000000" w:themeColor="text1"/>
          <w:szCs w:val="26"/>
          <w:lang w:val="en-US"/>
        </w:rPr>
      </w:pPr>
      <w:r w:rsidRPr="003B687C">
        <w:rPr>
          <w:rFonts w:asciiTheme="minorHAnsi" w:eastAsiaTheme="majorEastAsia" w:hAnsiTheme="minorHAnsi" w:cstheme="minorHAnsi"/>
          <w:b/>
          <w:bCs/>
          <w:color w:val="000000" w:themeColor="text1"/>
          <w:szCs w:val="26"/>
        </w:rPr>
        <w:t>European Economic Area</w:t>
      </w:r>
    </w:p>
    <w:p w14:paraId="015D2E10" w14:textId="77777777" w:rsidR="00C831D3" w:rsidRPr="003B687C" w:rsidRDefault="00C831D3" w:rsidP="00C831D3">
      <w:pPr>
        <w:spacing w:after="200" w:line="276" w:lineRule="auto"/>
        <w:jc w:val="both"/>
        <w:rPr>
          <w:rFonts w:asciiTheme="minorHAnsi" w:eastAsiaTheme="majorEastAsia" w:hAnsiTheme="minorHAnsi" w:cstheme="minorHAnsi"/>
          <w:color w:val="000000" w:themeColor="text1"/>
          <w:szCs w:val="26"/>
        </w:rPr>
      </w:pPr>
      <w:r w:rsidRPr="003B687C">
        <w:rPr>
          <w:rFonts w:asciiTheme="minorHAnsi" w:eastAsiaTheme="majorEastAsia" w:hAnsiTheme="minorHAnsi" w:cstheme="minorHAnsi"/>
          <w:color w:val="000000" w:themeColor="text1"/>
          <w:szCs w:val="26"/>
        </w:rPr>
        <w:t>In any member state of the European Economic Area (a “</w:t>
      </w:r>
      <w:r w:rsidRPr="003B687C">
        <w:rPr>
          <w:rFonts w:asciiTheme="minorHAnsi" w:eastAsiaTheme="majorEastAsia" w:hAnsiTheme="minorHAnsi" w:cstheme="minorHAnsi"/>
          <w:b/>
          <w:bCs/>
          <w:color w:val="000000" w:themeColor="text1"/>
          <w:szCs w:val="26"/>
        </w:rPr>
        <w:t>EEA Member State</w:t>
      </w:r>
      <w:r w:rsidRPr="003B687C">
        <w:rPr>
          <w:rFonts w:asciiTheme="minorHAnsi" w:eastAsiaTheme="majorEastAsia" w:hAnsiTheme="minorHAnsi" w:cstheme="minorHAnsi"/>
          <w:color w:val="000000" w:themeColor="text1"/>
          <w:szCs w:val="26"/>
        </w:rPr>
        <w:t>”), this announcement is only addressed to and is only directed at qualified investors within the meaning of Article 2(e) of Regulation (EU) 2017/1129, as amended (the “</w:t>
      </w:r>
      <w:r w:rsidRPr="003B687C">
        <w:rPr>
          <w:rFonts w:asciiTheme="minorHAnsi" w:eastAsiaTheme="majorEastAsia" w:hAnsiTheme="minorHAnsi" w:cstheme="minorHAnsi"/>
          <w:b/>
          <w:bCs/>
          <w:color w:val="000000" w:themeColor="text1"/>
          <w:szCs w:val="26"/>
        </w:rPr>
        <w:t>Prospectus Regulation</w:t>
      </w:r>
      <w:r w:rsidRPr="003B687C">
        <w:rPr>
          <w:rFonts w:asciiTheme="minorHAnsi" w:eastAsiaTheme="majorEastAsia" w:hAnsiTheme="minorHAnsi" w:cstheme="minorHAnsi"/>
          <w:color w:val="000000" w:themeColor="text1"/>
          <w:szCs w:val="26"/>
        </w:rPr>
        <w:t>”) in that EEA Member State.</w:t>
      </w:r>
    </w:p>
    <w:p w14:paraId="0874C702" w14:textId="77777777" w:rsidR="004508D5" w:rsidRPr="003B687C" w:rsidRDefault="004508D5" w:rsidP="004508D5">
      <w:pPr>
        <w:spacing w:after="200" w:line="276" w:lineRule="auto"/>
        <w:jc w:val="both"/>
        <w:rPr>
          <w:rFonts w:asciiTheme="minorHAnsi" w:eastAsiaTheme="majorEastAsia" w:hAnsiTheme="minorHAnsi" w:cstheme="minorHAnsi"/>
          <w:b/>
          <w:bCs/>
          <w:color w:val="000000" w:themeColor="text1"/>
          <w:szCs w:val="26"/>
        </w:rPr>
      </w:pPr>
      <w:r w:rsidRPr="003B687C">
        <w:rPr>
          <w:rFonts w:asciiTheme="minorHAnsi" w:eastAsiaTheme="majorEastAsia" w:hAnsiTheme="minorHAnsi" w:cstheme="minorHAnsi"/>
          <w:b/>
          <w:bCs/>
          <w:color w:val="000000" w:themeColor="text1"/>
          <w:szCs w:val="26"/>
        </w:rPr>
        <w:t>Italy</w:t>
      </w:r>
    </w:p>
    <w:p w14:paraId="6197E0AC" w14:textId="7A2FB1EB" w:rsidR="00BE6B30" w:rsidRPr="003B687C" w:rsidRDefault="00BE6B30" w:rsidP="00BE6B30">
      <w:pPr>
        <w:spacing w:after="200" w:line="276" w:lineRule="auto"/>
        <w:jc w:val="both"/>
        <w:rPr>
          <w:rFonts w:asciiTheme="minorHAnsi" w:eastAsiaTheme="majorEastAsia" w:hAnsiTheme="minorHAnsi" w:cstheme="minorHAnsi"/>
          <w:color w:val="000000" w:themeColor="text1"/>
          <w:szCs w:val="26"/>
        </w:rPr>
      </w:pPr>
      <w:r w:rsidRPr="003B687C">
        <w:rPr>
          <w:rFonts w:asciiTheme="minorHAnsi" w:eastAsiaTheme="majorEastAsia" w:hAnsiTheme="minorHAnsi" w:cstheme="minorHAnsi"/>
          <w:color w:val="000000" w:themeColor="text1"/>
          <w:szCs w:val="26"/>
        </w:rPr>
        <w:t xml:space="preserve">Neither this announcement nor any other documents or materials relating to the Tender Offer have been or will be submitted to the clearance procedure of the </w:t>
      </w:r>
      <w:r w:rsidRPr="003B687C">
        <w:rPr>
          <w:rFonts w:asciiTheme="minorHAnsi" w:eastAsiaTheme="majorEastAsia" w:hAnsiTheme="minorHAnsi" w:cstheme="minorHAnsi"/>
          <w:i/>
          <w:iCs/>
          <w:color w:val="000000" w:themeColor="text1"/>
          <w:szCs w:val="26"/>
        </w:rPr>
        <w:t>Commissione Nazionale per le Società e la Borsa</w:t>
      </w:r>
      <w:r w:rsidRPr="003B687C">
        <w:rPr>
          <w:rFonts w:asciiTheme="minorHAnsi" w:eastAsiaTheme="majorEastAsia" w:hAnsiTheme="minorHAnsi" w:cstheme="minorHAnsi"/>
          <w:color w:val="000000" w:themeColor="text1"/>
          <w:szCs w:val="26"/>
        </w:rPr>
        <w:t xml:space="preserve"> (CONSOB) pursuant to Italian laws and regulations. </w:t>
      </w:r>
    </w:p>
    <w:p w14:paraId="1A932172" w14:textId="1A9D0998" w:rsidR="00BE6B30" w:rsidRPr="003B687C" w:rsidRDefault="00BE6B30" w:rsidP="00BE6B30">
      <w:pPr>
        <w:spacing w:after="200" w:line="276" w:lineRule="auto"/>
        <w:jc w:val="both"/>
        <w:rPr>
          <w:rFonts w:asciiTheme="minorHAnsi" w:eastAsiaTheme="majorEastAsia" w:hAnsiTheme="minorHAnsi" w:cstheme="minorHAnsi"/>
          <w:color w:val="000000" w:themeColor="text1"/>
          <w:szCs w:val="26"/>
        </w:rPr>
      </w:pPr>
      <w:r w:rsidRPr="003B687C">
        <w:rPr>
          <w:rFonts w:asciiTheme="minorHAnsi" w:eastAsiaTheme="majorEastAsia" w:hAnsiTheme="minorHAnsi" w:cstheme="minorHAnsi"/>
          <w:color w:val="000000" w:themeColor="text1"/>
          <w:szCs w:val="26"/>
        </w:rPr>
        <w:t xml:space="preserve">The Tender Offer </w:t>
      </w:r>
      <w:r w:rsidR="001709A3">
        <w:rPr>
          <w:rFonts w:asciiTheme="minorHAnsi" w:eastAsiaTheme="majorEastAsia" w:hAnsiTheme="minorHAnsi" w:cstheme="minorHAnsi"/>
          <w:color w:val="000000" w:themeColor="text1"/>
          <w:szCs w:val="26"/>
        </w:rPr>
        <w:t>is</w:t>
      </w:r>
      <w:r w:rsidRPr="003B687C">
        <w:rPr>
          <w:rFonts w:asciiTheme="minorHAnsi" w:eastAsiaTheme="majorEastAsia" w:hAnsiTheme="minorHAnsi" w:cstheme="minorHAnsi"/>
          <w:color w:val="000000" w:themeColor="text1"/>
          <w:szCs w:val="26"/>
        </w:rPr>
        <w:t xml:space="preserve"> being carried out in the Republic of Italy as an exempted offer pursuant to article 101-bis, paragraph 3-bis of the Legislative Decree No. 58 of 24 February 1998, as amended (the “</w:t>
      </w:r>
      <w:r w:rsidRPr="003B687C">
        <w:rPr>
          <w:rFonts w:asciiTheme="minorHAnsi" w:eastAsiaTheme="majorEastAsia" w:hAnsiTheme="minorHAnsi" w:cstheme="minorHAnsi"/>
          <w:b/>
          <w:bCs/>
          <w:color w:val="000000" w:themeColor="text1"/>
          <w:szCs w:val="26"/>
        </w:rPr>
        <w:t>Financial Services Act</w:t>
      </w:r>
      <w:r w:rsidRPr="003B687C">
        <w:rPr>
          <w:rFonts w:asciiTheme="minorHAnsi" w:eastAsiaTheme="majorEastAsia" w:hAnsiTheme="minorHAnsi" w:cstheme="minorHAnsi"/>
          <w:color w:val="000000" w:themeColor="text1"/>
          <w:szCs w:val="26"/>
        </w:rPr>
        <w:t>”) and article 35-bis, paragraph 4 of CONSOB Regulation No. 11971 of 14 May 1999, as amended (the “</w:t>
      </w:r>
      <w:r w:rsidRPr="003B687C">
        <w:rPr>
          <w:rFonts w:asciiTheme="minorHAnsi" w:eastAsiaTheme="majorEastAsia" w:hAnsiTheme="minorHAnsi" w:cstheme="minorHAnsi"/>
          <w:b/>
          <w:bCs/>
          <w:color w:val="000000" w:themeColor="text1"/>
          <w:szCs w:val="26"/>
        </w:rPr>
        <w:t>Issuers' Regulation</w:t>
      </w:r>
      <w:r w:rsidRPr="003B687C">
        <w:rPr>
          <w:rFonts w:asciiTheme="minorHAnsi" w:eastAsiaTheme="majorEastAsia" w:hAnsiTheme="minorHAnsi" w:cstheme="minorHAnsi"/>
          <w:color w:val="000000" w:themeColor="text1"/>
          <w:szCs w:val="26"/>
        </w:rPr>
        <w:t xml:space="preserve">”). The Tender Offer </w:t>
      </w:r>
      <w:r w:rsidR="001709A3">
        <w:rPr>
          <w:rFonts w:asciiTheme="minorHAnsi" w:eastAsiaTheme="majorEastAsia" w:hAnsiTheme="minorHAnsi" w:cstheme="minorHAnsi"/>
          <w:color w:val="000000" w:themeColor="text1"/>
          <w:szCs w:val="26"/>
        </w:rPr>
        <w:t>is</w:t>
      </w:r>
      <w:r w:rsidRPr="003B687C">
        <w:rPr>
          <w:rFonts w:asciiTheme="minorHAnsi" w:eastAsiaTheme="majorEastAsia" w:hAnsiTheme="minorHAnsi" w:cstheme="minorHAnsi"/>
          <w:color w:val="000000" w:themeColor="text1"/>
          <w:szCs w:val="26"/>
        </w:rPr>
        <w:t xml:space="preserve"> also being carried out in compliance with article 35-bis, paragraph 7 of the Issuers' Regulation. </w:t>
      </w:r>
    </w:p>
    <w:p w14:paraId="1976C8AA" w14:textId="1585C29F" w:rsidR="00BE6B30" w:rsidRPr="003B687C" w:rsidRDefault="00BE6B30" w:rsidP="00BE6B30">
      <w:pPr>
        <w:spacing w:after="200" w:line="276" w:lineRule="auto"/>
        <w:jc w:val="both"/>
        <w:rPr>
          <w:rFonts w:asciiTheme="minorHAnsi" w:eastAsiaTheme="majorEastAsia" w:hAnsiTheme="minorHAnsi" w:cstheme="minorHAnsi"/>
          <w:color w:val="000000" w:themeColor="text1"/>
          <w:szCs w:val="26"/>
        </w:rPr>
      </w:pPr>
      <w:r w:rsidRPr="003B687C">
        <w:rPr>
          <w:rFonts w:asciiTheme="minorHAnsi" w:eastAsiaTheme="majorEastAsia" w:hAnsiTheme="minorHAnsi" w:cstheme="minorHAnsi"/>
          <w:color w:val="000000" w:themeColor="text1"/>
          <w:szCs w:val="26"/>
        </w:rPr>
        <w:t>A holder of Notes located in the Republic of Italy can tender Notes through authorised persons (such as investment firms, banks or financial intermediaries permitted to conduct such activities in the Republic of Italy in accordance with the Financial Services Act, CONSOB Regulation No. 20307 of 15 February 2018, as amended from time to time, and Legislative Decree No. 385 of 1 September 1993, as amended) and in compliance with applicable laws and regulations or with requirements imposed by CONSOB or any other Italian authority.</w:t>
      </w:r>
    </w:p>
    <w:p w14:paraId="08C214C3" w14:textId="2146A6A8" w:rsidR="004508D5" w:rsidRPr="003B687C" w:rsidRDefault="00BE6B30" w:rsidP="00BE6B30">
      <w:pPr>
        <w:spacing w:after="200" w:line="276" w:lineRule="auto"/>
        <w:jc w:val="both"/>
        <w:rPr>
          <w:rFonts w:asciiTheme="minorHAnsi" w:eastAsiaTheme="majorEastAsia" w:hAnsiTheme="minorHAnsi" w:cstheme="minorHAnsi"/>
          <w:color w:val="000000" w:themeColor="text1"/>
          <w:szCs w:val="26"/>
        </w:rPr>
      </w:pPr>
      <w:r w:rsidRPr="003B687C">
        <w:rPr>
          <w:rFonts w:asciiTheme="minorHAnsi" w:eastAsiaTheme="majorEastAsia" w:hAnsiTheme="minorHAnsi" w:cstheme="minorHAnsi"/>
          <w:color w:val="000000" w:themeColor="text1"/>
          <w:szCs w:val="26"/>
        </w:rPr>
        <w:t>Each intermediary must comply with the applicable laws and regulations concerning information duties vis-à-vis its clients in connection with the Notes</w:t>
      </w:r>
      <w:r w:rsidR="001709A3">
        <w:rPr>
          <w:rFonts w:asciiTheme="minorHAnsi" w:eastAsiaTheme="majorEastAsia" w:hAnsiTheme="minorHAnsi" w:cstheme="minorHAnsi"/>
          <w:color w:val="000000" w:themeColor="text1"/>
          <w:szCs w:val="26"/>
        </w:rPr>
        <w:t xml:space="preserve"> and</w:t>
      </w:r>
      <w:r w:rsidRPr="003B687C">
        <w:rPr>
          <w:rFonts w:asciiTheme="minorHAnsi" w:eastAsiaTheme="majorEastAsia" w:hAnsiTheme="minorHAnsi" w:cstheme="minorHAnsi"/>
          <w:color w:val="000000" w:themeColor="text1"/>
          <w:szCs w:val="26"/>
        </w:rPr>
        <w:t xml:space="preserve"> the Tender Offer</w:t>
      </w:r>
      <w:r w:rsidR="004508D5" w:rsidRPr="003B687C">
        <w:rPr>
          <w:rFonts w:asciiTheme="minorHAnsi" w:eastAsiaTheme="majorEastAsia" w:hAnsiTheme="minorHAnsi" w:cstheme="minorHAnsi"/>
          <w:color w:val="000000" w:themeColor="text1"/>
          <w:szCs w:val="26"/>
        </w:rPr>
        <w:t>.</w:t>
      </w:r>
    </w:p>
    <w:p w14:paraId="18A328E7" w14:textId="77777777" w:rsidR="004508D5" w:rsidRPr="003B687C" w:rsidRDefault="004508D5" w:rsidP="004508D5">
      <w:pPr>
        <w:spacing w:after="200" w:line="276" w:lineRule="auto"/>
        <w:jc w:val="both"/>
        <w:rPr>
          <w:rFonts w:asciiTheme="minorHAnsi" w:eastAsiaTheme="majorEastAsia" w:hAnsiTheme="minorHAnsi" w:cstheme="minorHAnsi"/>
          <w:b/>
          <w:bCs/>
          <w:color w:val="000000" w:themeColor="text1"/>
          <w:szCs w:val="26"/>
        </w:rPr>
      </w:pPr>
      <w:r w:rsidRPr="003B687C">
        <w:rPr>
          <w:rFonts w:asciiTheme="minorHAnsi" w:eastAsiaTheme="majorEastAsia" w:hAnsiTheme="minorHAnsi" w:cstheme="minorHAnsi"/>
          <w:b/>
          <w:bCs/>
          <w:color w:val="000000" w:themeColor="text1"/>
          <w:szCs w:val="26"/>
        </w:rPr>
        <w:t>United Kingdom</w:t>
      </w:r>
    </w:p>
    <w:p w14:paraId="4664D1E7" w14:textId="00236552" w:rsidR="004508D5" w:rsidRPr="003B687C" w:rsidRDefault="004508D5" w:rsidP="004508D5">
      <w:pPr>
        <w:spacing w:after="200" w:line="276" w:lineRule="auto"/>
        <w:jc w:val="both"/>
        <w:rPr>
          <w:rFonts w:asciiTheme="minorHAnsi" w:eastAsiaTheme="majorEastAsia" w:hAnsiTheme="minorHAnsi" w:cstheme="minorHAnsi"/>
          <w:color w:val="000000" w:themeColor="text1"/>
          <w:szCs w:val="26"/>
        </w:rPr>
      </w:pPr>
      <w:r w:rsidRPr="003B687C">
        <w:rPr>
          <w:rFonts w:asciiTheme="minorHAnsi" w:eastAsiaTheme="majorEastAsia" w:hAnsiTheme="minorHAnsi" w:cstheme="minorHAnsi"/>
          <w:color w:val="000000" w:themeColor="text1"/>
          <w:szCs w:val="26"/>
        </w:rPr>
        <w:t xml:space="preserve">The </w:t>
      </w:r>
      <w:r w:rsidR="00045EE6" w:rsidRPr="003B687C">
        <w:rPr>
          <w:rFonts w:asciiTheme="minorHAnsi" w:eastAsiaTheme="majorEastAsia" w:hAnsiTheme="minorHAnsi" w:cstheme="minorHAnsi"/>
          <w:color w:val="000000" w:themeColor="text1"/>
          <w:szCs w:val="26"/>
        </w:rPr>
        <w:t>communication of this announcement by the Offeror</w:t>
      </w:r>
      <w:r w:rsidR="00F23920">
        <w:rPr>
          <w:rFonts w:asciiTheme="minorHAnsi" w:eastAsiaTheme="majorEastAsia" w:hAnsiTheme="minorHAnsi" w:cstheme="minorHAnsi"/>
          <w:color w:val="000000" w:themeColor="text1"/>
          <w:szCs w:val="26"/>
        </w:rPr>
        <w:t xml:space="preserve"> </w:t>
      </w:r>
      <w:r w:rsidR="00045EE6" w:rsidRPr="003B687C">
        <w:rPr>
          <w:rFonts w:asciiTheme="minorHAnsi" w:eastAsiaTheme="majorEastAsia" w:hAnsiTheme="minorHAnsi" w:cstheme="minorHAnsi"/>
          <w:color w:val="000000" w:themeColor="text1"/>
          <w:szCs w:val="26"/>
        </w:rPr>
        <w:t>and any other documents or materials relating to the Tender Offer is not being made, and such documents and/or materials have not been approved, by an authorised person for the purposes of section 21 of the Financial Services and Markets Act 2000 (the “</w:t>
      </w:r>
      <w:r w:rsidR="00045EE6" w:rsidRPr="003B687C">
        <w:rPr>
          <w:rFonts w:asciiTheme="minorHAnsi" w:eastAsiaTheme="majorEastAsia" w:hAnsiTheme="minorHAnsi" w:cstheme="minorHAnsi"/>
          <w:b/>
          <w:bCs/>
          <w:color w:val="000000" w:themeColor="text1"/>
          <w:szCs w:val="26"/>
        </w:rPr>
        <w:t>FSMA</w:t>
      </w:r>
      <w:r w:rsidR="00045EE6" w:rsidRPr="003B687C">
        <w:rPr>
          <w:rFonts w:asciiTheme="minorHAnsi" w:eastAsiaTheme="majorEastAsia" w:hAnsiTheme="minorHAnsi" w:cstheme="minorHAnsi"/>
          <w:color w:val="000000" w:themeColor="text1"/>
          <w:szCs w:val="26"/>
        </w:rPr>
        <w:t>”). Accordingly, such documents and/or materials are not being distributed to, and must not be passed on to, the general public in the United Kingdom. The communication of such documents and/or materials is exempt from the restriction on financial promotions under section 21 of the FSMA on the basis that it is only directed at and may be communicated to (1) those persons who are existing members or creditors of the Offeror</w:t>
      </w:r>
      <w:r w:rsidR="00F23920">
        <w:rPr>
          <w:rFonts w:asciiTheme="minorHAnsi" w:eastAsiaTheme="majorEastAsia" w:hAnsiTheme="minorHAnsi" w:cstheme="minorHAnsi"/>
          <w:color w:val="000000" w:themeColor="text1"/>
          <w:szCs w:val="26"/>
        </w:rPr>
        <w:t xml:space="preserve"> </w:t>
      </w:r>
      <w:r w:rsidR="00045EE6" w:rsidRPr="003B687C">
        <w:rPr>
          <w:rFonts w:asciiTheme="minorHAnsi" w:eastAsiaTheme="majorEastAsia" w:hAnsiTheme="minorHAnsi" w:cstheme="minorHAnsi"/>
          <w:color w:val="000000" w:themeColor="text1"/>
          <w:szCs w:val="26"/>
        </w:rPr>
        <w:t xml:space="preserve">or other </w:t>
      </w:r>
      <w:r w:rsidR="00045EE6" w:rsidRPr="003B687C">
        <w:rPr>
          <w:rFonts w:asciiTheme="minorHAnsi" w:eastAsiaTheme="majorEastAsia" w:hAnsiTheme="minorHAnsi" w:cstheme="minorHAnsi"/>
          <w:color w:val="000000" w:themeColor="text1"/>
          <w:szCs w:val="26"/>
        </w:rPr>
        <w:lastRenderedPageBreak/>
        <w:t>persons within Article 43 of the Financial Services and Markets Act 2000 (Financial Promotion) Order 2005, and (2) to any other persons to whom these documents and/or materials may lawfully be communicated</w:t>
      </w:r>
      <w:r w:rsidRPr="003B687C">
        <w:rPr>
          <w:rFonts w:asciiTheme="minorHAnsi" w:eastAsiaTheme="majorEastAsia" w:hAnsiTheme="minorHAnsi" w:cstheme="minorHAnsi"/>
          <w:color w:val="000000" w:themeColor="text1"/>
          <w:szCs w:val="26"/>
        </w:rPr>
        <w:t>.</w:t>
      </w:r>
    </w:p>
    <w:p w14:paraId="24D5564C" w14:textId="77777777" w:rsidR="004508D5" w:rsidRPr="003B687C" w:rsidRDefault="004508D5" w:rsidP="004508D5">
      <w:pPr>
        <w:spacing w:after="200" w:line="276" w:lineRule="auto"/>
        <w:jc w:val="both"/>
        <w:rPr>
          <w:rFonts w:asciiTheme="minorHAnsi" w:eastAsiaTheme="majorEastAsia" w:hAnsiTheme="minorHAnsi" w:cstheme="minorHAnsi"/>
          <w:b/>
          <w:bCs/>
          <w:color w:val="000000" w:themeColor="text1"/>
          <w:szCs w:val="26"/>
        </w:rPr>
      </w:pPr>
      <w:r w:rsidRPr="003B687C">
        <w:rPr>
          <w:rFonts w:asciiTheme="minorHAnsi" w:eastAsiaTheme="majorEastAsia" w:hAnsiTheme="minorHAnsi" w:cstheme="minorHAnsi"/>
          <w:b/>
          <w:bCs/>
          <w:color w:val="000000" w:themeColor="text1"/>
          <w:szCs w:val="26"/>
        </w:rPr>
        <w:t>Ireland</w:t>
      </w:r>
    </w:p>
    <w:p w14:paraId="275C711C" w14:textId="77777777" w:rsidR="004508D5" w:rsidRPr="003B687C" w:rsidRDefault="004508D5" w:rsidP="004508D5">
      <w:pPr>
        <w:spacing w:after="200" w:line="276" w:lineRule="auto"/>
        <w:jc w:val="both"/>
        <w:rPr>
          <w:rFonts w:asciiTheme="minorHAnsi" w:eastAsiaTheme="majorEastAsia" w:hAnsiTheme="minorHAnsi" w:cstheme="minorHAnsi"/>
          <w:b/>
          <w:bCs/>
          <w:color w:val="000000" w:themeColor="text1"/>
          <w:szCs w:val="26"/>
        </w:rPr>
      </w:pPr>
      <w:r w:rsidRPr="003B687C">
        <w:rPr>
          <w:rFonts w:asciiTheme="minorHAnsi" w:eastAsiaTheme="majorEastAsia" w:hAnsiTheme="minorHAnsi" w:cstheme="minorHAnsi"/>
          <w:color w:val="000000" w:themeColor="text1"/>
          <w:szCs w:val="26"/>
        </w:rPr>
        <w:t>This announcement will only be distributed in Ireland in conformity with the provisions of the Companies Act 2014 (as amended), the Central Bank Acts 1942 – 2019 (as amended) and the European Union (Markets in Financial Instruments) Regulation 2017, including, without limitation, Regulation 5 thereof or any applicable provisions of Irish law</w:t>
      </w:r>
      <w:r w:rsidRPr="003B687C">
        <w:rPr>
          <w:rFonts w:asciiTheme="minorHAnsi" w:eastAsiaTheme="majorEastAsia" w:hAnsiTheme="minorHAnsi" w:cstheme="minorHAnsi"/>
          <w:b/>
          <w:bCs/>
          <w:color w:val="000000" w:themeColor="text1"/>
          <w:szCs w:val="26"/>
        </w:rPr>
        <w:t>.</w:t>
      </w:r>
    </w:p>
    <w:p w14:paraId="381340DE" w14:textId="77777777" w:rsidR="004508D5" w:rsidRPr="003B687C" w:rsidRDefault="004508D5" w:rsidP="004508D5">
      <w:pPr>
        <w:spacing w:after="200" w:line="276" w:lineRule="auto"/>
        <w:jc w:val="both"/>
        <w:rPr>
          <w:rFonts w:asciiTheme="minorHAnsi" w:eastAsiaTheme="majorEastAsia" w:hAnsiTheme="minorHAnsi" w:cstheme="minorHAnsi"/>
          <w:b/>
          <w:bCs/>
          <w:color w:val="000000" w:themeColor="text1"/>
          <w:szCs w:val="26"/>
        </w:rPr>
      </w:pPr>
      <w:r w:rsidRPr="003B687C">
        <w:rPr>
          <w:rFonts w:asciiTheme="minorHAnsi" w:eastAsiaTheme="majorEastAsia" w:hAnsiTheme="minorHAnsi" w:cstheme="minorHAnsi"/>
          <w:b/>
          <w:bCs/>
          <w:color w:val="000000" w:themeColor="text1"/>
          <w:szCs w:val="26"/>
        </w:rPr>
        <w:t>General</w:t>
      </w:r>
    </w:p>
    <w:p w14:paraId="55AC43D0" w14:textId="762D75E5" w:rsidR="004508D5" w:rsidRPr="003B687C" w:rsidRDefault="004508D5" w:rsidP="004508D5">
      <w:pPr>
        <w:spacing w:after="200" w:line="276" w:lineRule="auto"/>
        <w:jc w:val="both"/>
        <w:rPr>
          <w:rFonts w:asciiTheme="minorHAnsi" w:eastAsiaTheme="majorEastAsia" w:hAnsiTheme="minorHAnsi" w:cstheme="minorHAnsi"/>
          <w:color w:val="000000" w:themeColor="text1"/>
          <w:szCs w:val="26"/>
        </w:rPr>
      </w:pPr>
      <w:r w:rsidRPr="003B687C">
        <w:rPr>
          <w:rFonts w:asciiTheme="minorHAnsi" w:eastAsiaTheme="majorEastAsia" w:hAnsiTheme="minorHAnsi" w:cstheme="minorHAnsi"/>
          <w:color w:val="000000" w:themeColor="text1"/>
          <w:szCs w:val="26"/>
        </w:rPr>
        <w:t xml:space="preserve">This announcement does not constitute an offer to sell or buy or the solicitation of an offer to sell or buy the Notes (and offers of Notes for sale pursuant to the </w:t>
      </w:r>
      <w:r w:rsidR="00C56CEE" w:rsidRPr="003B687C">
        <w:rPr>
          <w:rFonts w:asciiTheme="minorHAnsi" w:eastAsiaTheme="majorEastAsia" w:hAnsiTheme="minorHAnsi" w:cstheme="minorHAnsi"/>
          <w:color w:val="000000" w:themeColor="text1"/>
          <w:szCs w:val="26"/>
        </w:rPr>
        <w:t xml:space="preserve">Tender </w:t>
      </w:r>
      <w:r w:rsidRPr="003B687C">
        <w:rPr>
          <w:rFonts w:asciiTheme="minorHAnsi" w:eastAsiaTheme="majorEastAsia" w:hAnsiTheme="minorHAnsi" w:cstheme="minorHAnsi"/>
          <w:color w:val="000000" w:themeColor="text1"/>
          <w:szCs w:val="26"/>
        </w:rPr>
        <w:t xml:space="preserve">Offer will not be accepted from the Noteholders) in any circumstances in which such offer or solicitation is unlawful. </w:t>
      </w:r>
    </w:p>
    <w:p w14:paraId="65EE623F" w14:textId="47503DBB" w:rsidR="00705A18" w:rsidRPr="00A81A2D" w:rsidRDefault="00607A98" w:rsidP="004508D5">
      <w:pPr>
        <w:spacing w:after="200" w:line="276" w:lineRule="auto"/>
        <w:jc w:val="both"/>
        <w:rPr>
          <w:rFonts w:asciiTheme="minorHAnsi" w:eastAsiaTheme="majorEastAsia" w:hAnsiTheme="minorHAnsi" w:cstheme="minorHAnsi"/>
          <w:color w:val="000000" w:themeColor="text1"/>
          <w:szCs w:val="26"/>
        </w:rPr>
      </w:pPr>
      <w:r w:rsidRPr="003B687C">
        <w:rPr>
          <w:rFonts w:asciiTheme="minorHAnsi" w:eastAsiaTheme="majorEastAsia" w:hAnsiTheme="minorHAnsi" w:cstheme="minorHAnsi"/>
          <w:color w:val="000000" w:themeColor="text1"/>
          <w:szCs w:val="26"/>
        </w:rPr>
        <w:t xml:space="preserve">Each </w:t>
      </w:r>
      <w:r w:rsidR="00C56CEE" w:rsidRPr="003B687C">
        <w:rPr>
          <w:rFonts w:asciiTheme="minorHAnsi" w:eastAsiaTheme="majorEastAsia" w:hAnsiTheme="minorHAnsi" w:cstheme="minorHAnsi"/>
          <w:color w:val="000000" w:themeColor="text1"/>
          <w:szCs w:val="26"/>
        </w:rPr>
        <w:t xml:space="preserve">Noteholder participating in the </w:t>
      </w:r>
      <w:r w:rsidR="00C56CEE" w:rsidRPr="003B687C">
        <w:rPr>
          <w:rFonts w:asciiTheme="minorHAnsi" w:hAnsiTheme="minorHAnsi" w:cstheme="minorHAnsi"/>
        </w:rPr>
        <w:t xml:space="preserve">Tender </w:t>
      </w:r>
      <w:r w:rsidR="00C56CEE" w:rsidRPr="003B687C">
        <w:rPr>
          <w:rFonts w:asciiTheme="minorHAnsi" w:hAnsiTheme="minorHAnsi" w:cstheme="minorHAnsi"/>
          <w:bCs/>
          <w:color w:val="000000" w:themeColor="text1"/>
          <w:szCs w:val="26"/>
        </w:rPr>
        <w:t xml:space="preserve">Offer </w:t>
      </w:r>
      <w:r w:rsidR="00C56CEE" w:rsidRPr="003B687C">
        <w:rPr>
          <w:rFonts w:asciiTheme="minorHAnsi" w:eastAsiaTheme="majorEastAsia" w:hAnsiTheme="minorHAnsi" w:cstheme="minorHAnsi"/>
          <w:color w:val="000000" w:themeColor="text1"/>
          <w:szCs w:val="26"/>
        </w:rPr>
        <w:t>will be deemed to give certain representations in respect of the jurisdictions referred to above and generally as set out in “</w:t>
      </w:r>
      <w:r w:rsidR="00C56CEE" w:rsidRPr="003B687C">
        <w:rPr>
          <w:rFonts w:asciiTheme="minorHAnsi" w:hAnsiTheme="minorHAnsi" w:cstheme="minorHAnsi"/>
          <w:bCs/>
          <w:i/>
          <w:color w:val="000000" w:themeColor="text1"/>
          <w:szCs w:val="26"/>
        </w:rPr>
        <w:t>Procedures for Participating in the</w:t>
      </w:r>
      <w:r w:rsidR="00C56CEE" w:rsidRPr="003B687C">
        <w:rPr>
          <w:rFonts w:asciiTheme="minorHAnsi" w:hAnsiTheme="minorHAnsi" w:cstheme="minorHAnsi"/>
        </w:rPr>
        <w:t xml:space="preserve"> </w:t>
      </w:r>
      <w:r w:rsidR="00C56CEE" w:rsidRPr="003B687C">
        <w:rPr>
          <w:rFonts w:asciiTheme="minorHAnsi" w:hAnsiTheme="minorHAnsi" w:cstheme="minorHAnsi"/>
          <w:i/>
          <w:iCs/>
        </w:rPr>
        <w:t>Tender</w:t>
      </w:r>
      <w:r w:rsidR="00C56CEE" w:rsidRPr="003B687C">
        <w:rPr>
          <w:rFonts w:asciiTheme="minorHAnsi" w:hAnsiTheme="minorHAnsi" w:cstheme="minorHAnsi"/>
          <w:bCs/>
          <w:i/>
          <w:color w:val="000000" w:themeColor="text1"/>
          <w:szCs w:val="26"/>
        </w:rPr>
        <w:t xml:space="preserve"> Offer</w:t>
      </w:r>
      <w:r w:rsidR="00C56CEE" w:rsidRPr="003B687C">
        <w:rPr>
          <w:rFonts w:asciiTheme="minorHAnsi" w:eastAsiaTheme="majorEastAsia" w:hAnsiTheme="minorHAnsi" w:cstheme="minorHAnsi"/>
          <w:color w:val="000000" w:themeColor="text1"/>
          <w:szCs w:val="26"/>
        </w:rPr>
        <w:t>”</w:t>
      </w:r>
      <w:r w:rsidR="00C56CEE" w:rsidRPr="003B687C">
        <w:rPr>
          <w:rFonts w:asciiTheme="minorHAnsi" w:hAnsiTheme="minorHAnsi" w:cstheme="minorHAnsi"/>
        </w:rPr>
        <w:t xml:space="preserve"> in the </w:t>
      </w:r>
      <w:r w:rsidR="00C56CEE" w:rsidRPr="003B687C">
        <w:rPr>
          <w:rFonts w:asciiTheme="minorHAnsi" w:eastAsiaTheme="majorEastAsia" w:hAnsiTheme="minorHAnsi" w:cstheme="minorHAnsi"/>
          <w:color w:val="000000" w:themeColor="text1"/>
          <w:szCs w:val="26"/>
        </w:rPr>
        <w:t xml:space="preserve">Tender Offer Memorandum. Any offer of Notes pursuant to the Tender Offer from a Noteholder that is unable to make these representations will not be accepted. Each of the Offeror and the Tender Agent reserves the right, in its absolute discretion, to investigate, in relation to the offer of Notes for sale pursuant to the Tender Offer, whether any such representation given by a Noteholder is correct and, if such investigation is undertaken and as a result the Offeror determines (for any reason) that such representation is not correct, such tender of Notes shall not be accepted. </w:t>
      </w:r>
    </w:p>
    <w:sectPr w:rsidR="00705A18" w:rsidRPr="00A81A2D" w:rsidSect="00A73760">
      <w:footerReference w:type="default" r:id="rId9"/>
      <w:headerReference w:type="first" r:id="rId10"/>
      <w:pgSz w:w="11907" w:h="16839"/>
      <w:pgMar w:top="1701" w:right="1588" w:bottom="1304" w:left="1588" w:header="766"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6910D" w14:textId="77777777" w:rsidR="00F81A3E" w:rsidRDefault="00F81A3E">
      <w:r>
        <w:separator/>
      </w:r>
    </w:p>
  </w:endnote>
  <w:endnote w:type="continuationSeparator" w:id="0">
    <w:p w14:paraId="790C4F9A" w14:textId="77777777" w:rsidR="00F81A3E" w:rsidRDefault="00F81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970CA" w14:textId="22B0A8E7" w:rsidR="00C8074E" w:rsidRDefault="00F81A3E">
    <w:pPr>
      <w:pStyle w:val="DocExCode"/>
    </w:pPr>
    <w:fldSimple w:instr=" DOCPROPERTY &quot;Document number&quot;  \* MERGEFORMAT "/>
  </w:p>
  <w:p w14:paraId="17B8C423" w14:textId="77777777" w:rsidR="00C8074E" w:rsidRDefault="00C8074E">
    <w:pPr>
      <w:pStyle w:val="DocExCode"/>
      <w:jc w:val="center"/>
    </w:pPr>
    <w:r>
      <w:rPr>
        <w:rStyle w:val="PageNumber"/>
        <w:kern w:val="17"/>
      </w:rPr>
      <w:fldChar w:fldCharType="begin"/>
    </w:r>
    <w:r>
      <w:rPr>
        <w:rStyle w:val="PageNumber"/>
        <w:kern w:val="17"/>
      </w:rPr>
      <w:instrText xml:space="preserve"> PAGE </w:instrText>
    </w:r>
    <w:r>
      <w:rPr>
        <w:rStyle w:val="PageNumber"/>
        <w:kern w:val="17"/>
      </w:rPr>
      <w:fldChar w:fldCharType="separate"/>
    </w:r>
    <w:r w:rsidR="00E15320">
      <w:rPr>
        <w:rStyle w:val="PageNumber"/>
        <w:noProof/>
        <w:kern w:val="17"/>
      </w:rPr>
      <w:t>1</w:t>
    </w:r>
    <w:r>
      <w:rPr>
        <w:rStyle w:val="PageNumber"/>
        <w:kern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1E48E" w14:textId="77777777" w:rsidR="00F81A3E" w:rsidRDefault="00F81A3E">
      <w:r>
        <w:separator/>
      </w:r>
    </w:p>
  </w:footnote>
  <w:footnote w:type="continuationSeparator" w:id="0">
    <w:p w14:paraId="279EBC81" w14:textId="77777777" w:rsidR="00F81A3E" w:rsidRDefault="00F81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501EF" w14:textId="7325A734" w:rsidR="00B12CF1" w:rsidRDefault="00B12CF1" w:rsidP="00B12CF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D890032"/>
    <w:multiLevelType w:val="hybridMultilevel"/>
    <w:tmpl w:val="50402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5" w15:restartNumberingAfterBreak="0">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6" w15:restartNumberingAfterBreak="0">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7" w15:restartNumberingAfterBreak="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A732CC"/>
    <w:multiLevelType w:val="multilevel"/>
    <w:tmpl w:val="50483CFA"/>
    <w:styleLink w:val="engage"/>
    <w:lvl w:ilvl="0">
      <w:start w:val="1"/>
      <w:numFmt w:val="decimal"/>
      <w:pStyle w:val="engageL1"/>
      <w:lvlText w:val="%1"/>
      <w:lvlJc w:val="left"/>
      <w:pPr>
        <w:tabs>
          <w:tab w:val="num" w:pos="567"/>
        </w:tabs>
        <w:ind w:left="567" w:hanging="567"/>
      </w:pPr>
      <w:rPr>
        <w:rFonts w:ascii="Arial" w:hAnsi="Arial" w:hint="default"/>
        <w:b/>
        <w:i w:val="0"/>
        <w:sz w:val="13"/>
      </w:rPr>
    </w:lvl>
    <w:lvl w:ilvl="1">
      <w:start w:val="1"/>
      <w:numFmt w:val="decimal"/>
      <w:pStyle w:val="engageL2"/>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4" w15:restartNumberingAfterBreak="0">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5" w15:restartNumberingAfterBreak="0">
    <w:nsid w:val="29D62245"/>
    <w:multiLevelType w:val="multilevel"/>
    <w:tmpl w:val="227EBBF0"/>
    <w:numStyleLink w:val="BodyStyle"/>
  </w:abstractNum>
  <w:abstractNum w:abstractNumId="16" w15:restartNumberingAfterBreak="0">
    <w:nsid w:val="33A74A8C"/>
    <w:multiLevelType w:val="multilevel"/>
    <w:tmpl w:val="50483CFA"/>
    <w:numStyleLink w:val="engage"/>
  </w:abstractNum>
  <w:abstractNum w:abstractNumId="17" w15:restartNumberingAfterBreak="0">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9" w15:restartNumberingAfterBreak="0">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2" w15:restartNumberingAfterBreak="0">
    <w:nsid w:val="3AF74DA1"/>
    <w:multiLevelType w:val="hybridMultilevel"/>
    <w:tmpl w:val="A0A8B402"/>
    <w:lvl w:ilvl="0" w:tplc="A51A488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B85EBB"/>
    <w:multiLevelType w:val="multilevel"/>
    <w:tmpl w:val="227EBBF0"/>
    <w:numStyleLink w:val="BodyStyle"/>
  </w:abstractNum>
  <w:abstractNum w:abstractNumId="24" w15:restartNumberingAfterBreak="0">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347763"/>
    <w:multiLevelType w:val="multilevel"/>
    <w:tmpl w:val="50483CFA"/>
    <w:numStyleLink w:val="engage"/>
  </w:abstractNum>
  <w:abstractNum w:abstractNumId="28" w15:restartNumberingAfterBreak="0">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9" w15:restartNumberingAfterBreak="0">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30" w15:restartNumberingAfterBreak="0">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5"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7" w15:restartNumberingAfterBreak="0">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38" w15:restartNumberingAfterBreak="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40" w15:restartNumberingAfterBreak="0">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41" w15:restartNumberingAfterBreak="0">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3" w15:restartNumberingAfterBreak="0">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6" w15:restartNumberingAfterBreak="0">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7" w15:restartNumberingAfterBreak="0">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8" w15:restartNumberingAfterBreak="0">
    <w:nsid w:val="77932258"/>
    <w:multiLevelType w:val="multilevel"/>
    <w:tmpl w:val="227EBBF0"/>
    <w:styleLink w:val="BodyStyle"/>
    <w:lvl w:ilvl="0">
      <w:start w:val="1"/>
      <w:numFmt w:val="decimal"/>
      <w:pStyle w:val="CObodynumbering"/>
      <w:lvlText w:val="(%1)"/>
      <w:lvlJc w:val="left"/>
      <w:pPr>
        <w:tabs>
          <w:tab w:val="num" w:pos="680"/>
        </w:tabs>
        <w:ind w:left="680" w:hanging="680"/>
      </w:pPr>
      <w:rPr>
        <w:rFonts w:ascii="Arial" w:hAnsi="Arial" w:hint="default"/>
        <w:b w:val="0"/>
        <w:i w:val="0"/>
        <w:sz w:val="2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32767" w:firstLine="32767"/>
      </w:pPr>
      <w:rPr>
        <w:rFonts w:hint="default"/>
      </w:rPr>
    </w:lvl>
    <w:lvl w:ilvl="6">
      <w:start w:val="1"/>
      <w:numFmt w:val="none"/>
      <w:lvlText w:val=""/>
      <w:lvlJc w:val="left"/>
      <w:pPr>
        <w:tabs>
          <w:tab w:val="num" w:pos="-31680"/>
        </w:tabs>
        <w:ind w:left="-32767" w:firstLine="32767"/>
      </w:pPr>
      <w:rPr>
        <w:rFonts w:hint="default"/>
      </w:rPr>
    </w:lvl>
    <w:lvl w:ilvl="7">
      <w:start w:val="1"/>
      <w:numFmt w:val="none"/>
      <w:lvlText w:val=""/>
      <w:lvlJc w:val="left"/>
      <w:pPr>
        <w:tabs>
          <w:tab w:val="num" w:pos="-31680"/>
        </w:tabs>
        <w:ind w:left="-32767" w:firstLine="32767"/>
      </w:pPr>
      <w:rPr>
        <w:rFonts w:hint="default"/>
      </w:rPr>
    </w:lvl>
    <w:lvl w:ilvl="8">
      <w:start w:val="1"/>
      <w:numFmt w:val="none"/>
      <w:lvlText w:val=""/>
      <w:lvlJc w:val="left"/>
      <w:pPr>
        <w:ind w:left="0" w:firstLine="0"/>
      </w:pPr>
      <w:rPr>
        <w:rFonts w:hint="default"/>
      </w:rPr>
    </w:lvl>
  </w:abstractNum>
  <w:abstractNum w:abstractNumId="49" w15:restartNumberingAfterBreak="0">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50" w15:restartNumberingAfterBreak="0">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10517828">
    <w:abstractNumId w:val="29"/>
  </w:num>
  <w:num w:numId="2" w16cid:durableId="1429110561">
    <w:abstractNumId w:val="46"/>
  </w:num>
  <w:num w:numId="3" w16cid:durableId="595358419">
    <w:abstractNumId w:val="18"/>
  </w:num>
  <w:num w:numId="4" w16cid:durableId="572548679">
    <w:abstractNumId w:val="6"/>
  </w:num>
  <w:num w:numId="5" w16cid:durableId="221671639">
    <w:abstractNumId w:val="28"/>
  </w:num>
  <w:num w:numId="6" w16cid:durableId="1574467155">
    <w:abstractNumId w:val="21"/>
  </w:num>
  <w:num w:numId="7" w16cid:durableId="752896712">
    <w:abstractNumId w:val="7"/>
  </w:num>
  <w:num w:numId="8" w16cid:durableId="539247851">
    <w:abstractNumId w:val="17"/>
  </w:num>
  <w:num w:numId="9" w16cid:durableId="98334216">
    <w:abstractNumId w:val="12"/>
  </w:num>
  <w:num w:numId="10" w16cid:durableId="1138910493">
    <w:abstractNumId w:val="35"/>
  </w:num>
  <w:num w:numId="11" w16cid:durableId="1725831974">
    <w:abstractNumId w:val="50"/>
  </w:num>
  <w:num w:numId="12" w16cid:durableId="1279723555">
    <w:abstractNumId w:val="8"/>
  </w:num>
  <w:num w:numId="13" w16cid:durableId="1665159985">
    <w:abstractNumId w:val="24"/>
  </w:num>
  <w:num w:numId="14" w16cid:durableId="696738267">
    <w:abstractNumId w:val="32"/>
  </w:num>
  <w:num w:numId="15" w16cid:durableId="435951568">
    <w:abstractNumId w:val="26"/>
  </w:num>
  <w:num w:numId="16" w16cid:durableId="563491379">
    <w:abstractNumId w:val="31"/>
  </w:num>
  <w:num w:numId="17" w16cid:durableId="1865897958">
    <w:abstractNumId w:val="30"/>
  </w:num>
  <w:num w:numId="18" w16cid:durableId="1538934695">
    <w:abstractNumId w:val="9"/>
  </w:num>
  <w:num w:numId="19" w16cid:durableId="756171687">
    <w:abstractNumId w:val="43"/>
  </w:num>
  <w:num w:numId="20" w16cid:durableId="1949309713">
    <w:abstractNumId w:val="42"/>
  </w:num>
  <w:num w:numId="21" w16cid:durableId="1813280742">
    <w:abstractNumId w:val="51"/>
  </w:num>
  <w:num w:numId="22" w16cid:durableId="894124118">
    <w:abstractNumId w:val="1"/>
  </w:num>
  <w:num w:numId="23" w16cid:durableId="1143346816">
    <w:abstractNumId w:val="38"/>
  </w:num>
  <w:num w:numId="24" w16cid:durableId="581329939">
    <w:abstractNumId w:val="36"/>
  </w:num>
  <w:num w:numId="25" w16cid:durableId="47609764">
    <w:abstractNumId w:val="49"/>
  </w:num>
  <w:num w:numId="26" w16cid:durableId="1837919603">
    <w:abstractNumId w:val="39"/>
  </w:num>
  <w:num w:numId="27" w16cid:durableId="198320818">
    <w:abstractNumId w:val="34"/>
  </w:num>
  <w:num w:numId="28" w16cid:durableId="1846824399">
    <w:abstractNumId w:val="47"/>
  </w:num>
  <w:num w:numId="29" w16cid:durableId="1914848910">
    <w:abstractNumId w:val="45"/>
  </w:num>
  <w:num w:numId="30" w16cid:durableId="24986475">
    <w:abstractNumId w:val="20"/>
  </w:num>
  <w:num w:numId="31" w16cid:durableId="865753386">
    <w:abstractNumId w:val="5"/>
  </w:num>
  <w:num w:numId="32" w16cid:durableId="1236664432">
    <w:abstractNumId w:val="14"/>
  </w:num>
  <w:num w:numId="33" w16cid:durableId="1378698407">
    <w:abstractNumId w:val="3"/>
  </w:num>
  <w:num w:numId="34" w16cid:durableId="1135639949">
    <w:abstractNumId w:val="40"/>
  </w:num>
  <w:num w:numId="35" w16cid:durableId="1773742940">
    <w:abstractNumId w:val="0"/>
  </w:num>
  <w:num w:numId="36" w16cid:durableId="815488796">
    <w:abstractNumId w:val="19"/>
  </w:num>
  <w:num w:numId="37" w16cid:durableId="2072339357">
    <w:abstractNumId w:val="41"/>
  </w:num>
  <w:num w:numId="38" w16cid:durableId="341053587">
    <w:abstractNumId w:val="11"/>
  </w:num>
  <w:num w:numId="39" w16cid:durableId="1119881377">
    <w:abstractNumId w:val="25"/>
  </w:num>
  <w:num w:numId="40" w16cid:durableId="139427143">
    <w:abstractNumId w:val="44"/>
  </w:num>
  <w:num w:numId="41" w16cid:durableId="952829697">
    <w:abstractNumId w:val="10"/>
  </w:num>
  <w:num w:numId="42" w16cid:durableId="1245263404">
    <w:abstractNumId w:val="33"/>
  </w:num>
  <w:num w:numId="43" w16cid:durableId="128282763">
    <w:abstractNumId w:val="37"/>
  </w:num>
  <w:num w:numId="44" w16cid:durableId="989015050">
    <w:abstractNumId w:val="4"/>
  </w:num>
  <w:num w:numId="45" w16cid:durableId="976832971">
    <w:abstractNumId w:val="13"/>
  </w:num>
  <w:num w:numId="46" w16cid:durableId="102723994">
    <w:abstractNumId w:val="16"/>
  </w:num>
  <w:num w:numId="47" w16cid:durableId="47922823">
    <w:abstractNumId w:val="27"/>
  </w:num>
  <w:num w:numId="48" w16cid:durableId="1402871502">
    <w:abstractNumId w:val="15"/>
    <w:lvlOverride w:ilvl="0">
      <w:lvl w:ilvl="0">
        <w:start w:val="1"/>
        <w:numFmt w:val="decimal"/>
        <w:lvlText w:val="(%1)"/>
        <w:lvlJc w:val="left"/>
        <w:pPr>
          <w:tabs>
            <w:tab w:val="num" w:pos="680"/>
          </w:tabs>
          <w:ind w:left="680" w:hanging="680"/>
        </w:pPr>
        <w:rPr>
          <w:rFonts w:ascii="Arial" w:hAnsi="Arial" w:hint="default"/>
          <w:b w:val="0"/>
          <w:i w:val="0"/>
          <w:sz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9" w16cid:durableId="628779466">
    <w:abstractNumId w:val="48"/>
  </w:num>
  <w:num w:numId="50" w16cid:durableId="1583029223">
    <w:abstractNumId w:val="15"/>
    <w:lvlOverride w:ilvl="0">
      <w:lvl w:ilvl="0">
        <w:start w:val="1"/>
        <w:numFmt w:val="decimal"/>
        <w:lvlText w:val="(%1)"/>
        <w:lvlJc w:val="left"/>
        <w:pPr>
          <w:tabs>
            <w:tab w:val="num" w:pos="680"/>
          </w:tabs>
          <w:ind w:left="680" w:hanging="680"/>
        </w:pPr>
        <w:rPr>
          <w:rFonts w:ascii="Arial" w:hAnsi="Arial" w:hint="default"/>
          <w:b w:val="0"/>
          <w:i w:val="0"/>
          <w:sz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1" w16cid:durableId="1233662958">
    <w:abstractNumId w:val="23"/>
  </w:num>
  <w:num w:numId="52" w16cid:durableId="1624077461">
    <w:abstractNumId w:val="22"/>
  </w:num>
  <w:num w:numId="53" w16cid:durableId="1183738858">
    <w:abstractNumId w:val="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oNotTrackFormatting/>
  <w:defaultTabStop w:val="68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BusinessUnitID" w:val="LinklatersLLP"/>
    <w:docVar w:name="TMS_CultureID" w:val="English-UK"/>
    <w:docVar w:name="TMS_OfficeID" w:val="London"/>
    <w:docVar w:name="TMS_TEMPLATE_ID" w:val="HouseStyle"/>
  </w:docVars>
  <w:rsids>
    <w:rsidRoot w:val="00352669"/>
    <w:rsid w:val="00003A07"/>
    <w:rsid w:val="00006062"/>
    <w:rsid w:val="000079AF"/>
    <w:rsid w:val="00015D3B"/>
    <w:rsid w:val="00022235"/>
    <w:rsid w:val="000235EF"/>
    <w:rsid w:val="00024FBF"/>
    <w:rsid w:val="0003265F"/>
    <w:rsid w:val="000334ED"/>
    <w:rsid w:val="000349FD"/>
    <w:rsid w:val="00040B1E"/>
    <w:rsid w:val="00041558"/>
    <w:rsid w:val="00045EE6"/>
    <w:rsid w:val="000509C9"/>
    <w:rsid w:val="00050E42"/>
    <w:rsid w:val="00053619"/>
    <w:rsid w:val="000552CB"/>
    <w:rsid w:val="000559AE"/>
    <w:rsid w:val="00057365"/>
    <w:rsid w:val="00066EF4"/>
    <w:rsid w:val="00071B97"/>
    <w:rsid w:val="00074212"/>
    <w:rsid w:val="00075AFB"/>
    <w:rsid w:val="00082F61"/>
    <w:rsid w:val="0008566C"/>
    <w:rsid w:val="00086357"/>
    <w:rsid w:val="000876F3"/>
    <w:rsid w:val="00087DA3"/>
    <w:rsid w:val="00090B7E"/>
    <w:rsid w:val="000931B2"/>
    <w:rsid w:val="00094B59"/>
    <w:rsid w:val="0009597B"/>
    <w:rsid w:val="00097071"/>
    <w:rsid w:val="000A3D24"/>
    <w:rsid w:val="000B117F"/>
    <w:rsid w:val="000B51C7"/>
    <w:rsid w:val="000B7976"/>
    <w:rsid w:val="000C101B"/>
    <w:rsid w:val="000C17D7"/>
    <w:rsid w:val="000D00CE"/>
    <w:rsid w:val="000D0759"/>
    <w:rsid w:val="000D2647"/>
    <w:rsid w:val="000D5311"/>
    <w:rsid w:val="000E6686"/>
    <w:rsid w:val="000E6C28"/>
    <w:rsid w:val="000E6F20"/>
    <w:rsid w:val="000F3578"/>
    <w:rsid w:val="000F7953"/>
    <w:rsid w:val="000F7D98"/>
    <w:rsid w:val="00103A35"/>
    <w:rsid w:val="00113EF1"/>
    <w:rsid w:val="00113FB8"/>
    <w:rsid w:val="00114B8E"/>
    <w:rsid w:val="0011536D"/>
    <w:rsid w:val="00115418"/>
    <w:rsid w:val="00122DBC"/>
    <w:rsid w:val="00133276"/>
    <w:rsid w:val="001374C1"/>
    <w:rsid w:val="0014232F"/>
    <w:rsid w:val="0014546B"/>
    <w:rsid w:val="00147380"/>
    <w:rsid w:val="00152BE7"/>
    <w:rsid w:val="00162EBE"/>
    <w:rsid w:val="001709A3"/>
    <w:rsid w:val="001723DA"/>
    <w:rsid w:val="001843F1"/>
    <w:rsid w:val="0018548E"/>
    <w:rsid w:val="00185A8A"/>
    <w:rsid w:val="00191709"/>
    <w:rsid w:val="0019321E"/>
    <w:rsid w:val="001951FA"/>
    <w:rsid w:val="00195EFD"/>
    <w:rsid w:val="001965A1"/>
    <w:rsid w:val="001A156B"/>
    <w:rsid w:val="001A73B2"/>
    <w:rsid w:val="001A760B"/>
    <w:rsid w:val="001B0FD0"/>
    <w:rsid w:val="001B200B"/>
    <w:rsid w:val="001B255B"/>
    <w:rsid w:val="001B2790"/>
    <w:rsid w:val="001B524C"/>
    <w:rsid w:val="001B5DA5"/>
    <w:rsid w:val="001C7CE1"/>
    <w:rsid w:val="001C7EA1"/>
    <w:rsid w:val="001D064B"/>
    <w:rsid w:val="001D36FF"/>
    <w:rsid w:val="001D51E4"/>
    <w:rsid w:val="001E1C15"/>
    <w:rsid w:val="001E28F7"/>
    <w:rsid w:val="001E53DD"/>
    <w:rsid w:val="001E6836"/>
    <w:rsid w:val="001F4CC6"/>
    <w:rsid w:val="001F5E0D"/>
    <w:rsid w:val="00210D8D"/>
    <w:rsid w:val="00214CCD"/>
    <w:rsid w:val="00216A2A"/>
    <w:rsid w:val="0022411E"/>
    <w:rsid w:val="0022497C"/>
    <w:rsid w:val="00225080"/>
    <w:rsid w:val="002325EF"/>
    <w:rsid w:val="00234185"/>
    <w:rsid w:val="00240DCC"/>
    <w:rsid w:val="0024629A"/>
    <w:rsid w:val="00246AE4"/>
    <w:rsid w:val="00247F62"/>
    <w:rsid w:val="00250444"/>
    <w:rsid w:val="00251F7E"/>
    <w:rsid w:val="00260251"/>
    <w:rsid w:val="00261408"/>
    <w:rsid w:val="00261DD7"/>
    <w:rsid w:val="00286E44"/>
    <w:rsid w:val="00295D0A"/>
    <w:rsid w:val="00296248"/>
    <w:rsid w:val="002A029F"/>
    <w:rsid w:val="002A2CD1"/>
    <w:rsid w:val="002A35E4"/>
    <w:rsid w:val="002A4A4B"/>
    <w:rsid w:val="002A53D2"/>
    <w:rsid w:val="002A6492"/>
    <w:rsid w:val="002B45B9"/>
    <w:rsid w:val="002C108B"/>
    <w:rsid w:val="002C137B"/>
    <w:rsid w:val="002C642D"/>
    <w:rsid w:val="002D1DAD"/>
    <w:rsid w:val="002D3BE7"/>
    <w:rsid w:val="002D3F0B"/>
    <w:rsid w:val="002D42F7"/>
    <w:rsid w:val="002E1114"/>
    <w:rsid w:val="002E1DA0"/>
    <w:rsid w:val="002E4C28"/>
    <w:rsid w:val="002F1D8B"/>
    <w:rsid w:val="002F5177"/>
    <w:rsid w:val="00306591"/>
    <w:rsid w:val="00306E6F"/>
    <w:rsid w:val="0031059C"/>
    <w:rsid w:val="00311DEF"/>
    <w:rsid w:val="003138B0"/>
    <w:rsid w:val="00315357"/>
    <w:rsid w:val="00326F32"/>
    <w:rsid w:val="00327830"/>
    <w:rsid w:val="00332D07"/>
    <w:rsid w:val="00336FB2"/>
    <w:rsid w:val="00337485"/>
    <w:rsid w:val="00340014"/>
    <w:rsid w:val="003421B6"/>
    <w:rsid w:val="003421C6"/>
    <w:rsid w:val="003428E2"/>
    <w:rsid w:val="003513A2"/>
    <w:rsid w:val="00351429"/>
    <w:rsid w:val="00352669"/>
    <w:rsid w:val="00356278"/>
    <w:rsid w:val="00361CDA"/>
    <w:rsid w:val="00361FAB"/>
    <w:rsid w:val="00362B05"/>
    <w:rsid w:val="00363154"/>
    <w:rsid w:val="0036613F"/>
    <w:rsid w:val="00372E56"/>
    <w:rsid w:val="003731B7"/>
    <w:rsid w:val="00374152"/>
    <w:rsid w:val="0038082C"/>
    <w:rsid w:val="003817F1"/>
    <w:rsid w:val="0039311F"/>
    <w:rsid w:val="00397579"/>
    <w:rsid w:val="003A1762"/>
    <w:rsid w:val="003A2AF7"/>
    <w:rsid w:val="003B098D"/>
    <w:rsid w:val="003B2E12"/>
    <w:rsid w:val="003B687C"/>
    <w:rsid w:val="003C5624"/>
    <w:rsid w:val="003C5AC7"/>
    <w:rsid w:val="003C73D0"/>
    <w:rsid w:val="003C73F9"/>
    <w:rsid w:val="003D0802"/>
    <w:rsid w:val="003D145D"/>
    <w:rsid w:val="003D66BD"/>
    <w:rsid w:val="003D6A51"/>
    <w:rsid w:val="003E071F"/>
    <w:rsid w:val="003E67D0"/>
    <w:rsid w:val="003E7E2E"/>
    <w:rsid w:val="003F2EE7"/>
    <w:rsid w:val="003F5078"/>
    <w:rsid w:val="003F548C"/>
    <w:rsid w:val="004020F3"/>
    <w:rsid w:val="00405378"/>
    <w:rsid w:val="00411838"/>
    <w:rsid w:val="00415F09"/>
    <w:rsid w:val="00425F1B"/>
    <w:rsid w:val="00431C59"/>
    <w:rsid w:val="00434624"/>
    <w:rsid w:val="00434F8E"/>
    <w:rsid w:val="00435810"/>
    <w:rsid w:val="00435929"/>
    <w:rsid w:val="00440282"/>
    <w:rsid w:val="004415B9"/>
    <w:rsid w:val="004435BD"/>
    <w:rsid w:val="00444BB6"/>
    <w:rsid w:val="004508D5"/>
    <w:rsid w:val="00453B4F"/>
    <w:rsid w:val="00460E12"/>
    <w:rsid w:val="00461C6A"/>
    <w:rsid w:val="004622DC"/>
    <w:rsid w:val="0046357A"/>
    <w:rsid w:val="0047158F"/>
    <w:rsid w:val="00473979"/>
    <w:rsid w:val="004807F4"/>
    <w:rsid w:val="00482CE3"/>
    <w:rsid w:val="00485460"/>
    <w:rsid w:val="004856C4"/>
    <w:rsid w:val="00496C62"/>
    <w:rsid w:val="004A4AC0"/>
    <w:rsid w:val="004A5D57"/>
    <w:rsid w:val="004A6B13"/>
    <w:rsid w:val="004B6D8F"/>
    <w:rsid w:val="004D1BC0"/>
    <w:rsid w:val="004D427E"/>
    <w:rsid w:val="004D4E05"/>
    <w:rsid w:val="004D732D"/>
    <w:rsid w:val="004E0886"/>
    <w:rsid w:val="004E3B7F"/>
    <w:rsid w:val="004E4DD1"/>
    <w:rsid w:val="004E538C"/>
    <w:rsid w:val="004E6F58"/>
    <w:rsid w:val="004E769E"/>
    <w:rsid w:val="004F666C"/>
    <w:rsid w:val="005015E9"/>
    <w:rsid w:val="005021B0"/>
    <w:rsid w:val="005026C2"/>
    <w:rsid w:val="0050280A"/>
    <w:rsid w:val="0050468F"/>
    <w:rsid w:val="00506A6E"/>
    <w:rsid w:val="00506F43"/>
    <w:rsid w:val="00510311"/>
    <w:rsid w:val="005112EF"/>
    <w:rsid w:val="0051530E"/>
    <w:rsid w:val="00520C26"/>
    <w:rsid w:val="00524A7D"/>
    <w:rsid w:val="005250A0"/>
    <w:rsid w:val="0052698C"/>
    <w:rsid w:val="00526EBA"/>
    <w:rsid w:val="005274DE"/>
    <w:rsid w:val="005278B5"/>
    <w:rsid w:val="00531075"/>
    <w:rsid w:val="005339CD"/>
    <w:rsid w:val="005411F0"/>
    <w:rsid w:val="00543720"/>
    <w:rsid w:val="00544363"/>
    <w:rsid w:val="00553182"/>
    <w:rsid w:val="00557ADE"/>
    <w:rsid w:val="005627CC"/>
    <w:rsid w:val="005646F3"/>
    <w:rsid w:val="00574131"/>
    <w:rsid w:val="00581584"/>
    <w:rsid w:val="00587F05"/>
    <w:rsid w:val="00590D96"/>
    <w:rsid w:val="005A4CCB"/>
    <w:rsid w:val="005A4ECE"/>
    <w:rsid w:val="005B136E"/>
    <w:rsid w:val="005B3D48"/>
    <w:rsid w:val="005B4294"/>
    <w:rsid w:val="005B49CF"/>
    <w:rsid w:val="005B5A1E"/>
    <w:rsid w:val="005B7049"/>
    <w:rsid w:val="005C0117"/>
    <w:rsid w:val="005C0D48"/>
    <w:rsid w:val="005D6A31"/>
    <w:rsid w:val="005D7121"/>
    <w:rsid w:val="005D7B77"/>
    <w:rsid w:val="005E0338"/>
    <w:rsid w:val="005E2072"/>
    <w:rsid w:val="005E33DB"/>
    <w:rsid w:val="005E66F5"/>
    <w:rsid w:val="005F0C44"/>
    <w:rsid w:val="005F3061"/>
    <w:rsid w:val="005F3E58"/>
    <w:rsid w:val="005F78D1"/>
    <w:rsid w:val="00600BE5"/>
    <w:rsid w:val="0060145E"/>
    <w:rsid w:val="006030EA"/>
    <w:rsid w:val="00607A98"/>
    <w:rsid w:val="00607B6B"/>
    <w:rsid w:val="0061323D"/>
    <w:rsid w:val="006147C7"/>
    <w:rsid w:val="00615E9B"/>
    <w:rsid w:val="00615FF8"/>
    <w:rsid w:val="00616D18"/>
    <w:rsid w:val="006172D0"/>
    <w:rsid w:val="00617896"/>
    <w:rsid w:val="00623A81"/>
    <w:rsid w:val="00623ED5"/>
    <w:rsid w:val="00637DFF"/>
    <w:rsid w:val="00642B39"/>
    <w:rsid w:val="00650485"/>
    <w:rsid w:val="006519F7"/>
    <w:rsid w:val="00652BCD"/>
    <w:rsid w:val="006534A5"/>
    <w:rsid w:val="0065488F"/>
    <w:rsid w:val="0066467F"/>
    <w:rsid w:val="00665ADA"/>
    <w:rsid w:val="006733F1"/>
    <w:rsid w:val="00674B5F"/>
    <w:rsid w:val="00676119"/>
    <w:rsid w:val="00683C8B"/>
    <w:rsid w:val="0068562D"/>
    <w:rsid w:val="00687D21"/>
    <w:rsid w:val="00694016"/>
    <w:rsid w:val="00694DB1"/>
    <w:rsid w:val="006A0398"/>
    <w:rsid w:val="006A735E"/>
    <w:rsid w:val="006B4F59"/>
    <w:rsid w:val="006B7C7F"/>
    <w:rsid w:val="006C40C2"/>
    <w:rsid w:val="006C412F"/>
    <w:rsid w:val="006D69B4"/>
    <w:rsid w:val="006E0CB1"/>
    <w:rsid w:val="006E1B56"/>
    <w:rsid w:val="006F7B7E"/>
    <w:rsid w:val="006F7F47"/>
    <w:rsid w:val="00700A2A"/>
    <w:rsid w:val="00700BB2"/>
    <w:rsid w:val="00705541"/>
    <w:rsid w:val="00705A18"/>
    <w:rsid w:val="007106F9"/>
    <w:rsid w:val="0071231A"/>
    <w:rsid w:val="00713A13"/>
    <w:rsid w:val="00724241"/>
    <w:rsid w:val="00724A11"/>
    <w:rsid w:val="007361C8"/>
    <w:rsid w:val="00736251"/>
    <w:rsid w:val="00740219"/>
    <w:rsid w:val="0074464A"/>
    <w:rsid w:val="00744EFB"/>
    <w:rsid w:val="00744F84"/>
    <w:rsid w:val="0074609A"/>
    <w:rsid w:val="00746A17"/>
    <w:rsid w:val="00747278"/>
    <w:rsid w:val="00747CD7"/>
    <w:rsid w:val="00750BE5"/>
    <w:rsid w:val="007513DF"/>
    <w:rsid w:val="0075622C"/>
    <w:rsid w:val="007632F6"/>
    <w:rsid w:val="007656DE"/>
    <w:rsid w:val="00766FA7"/>
    <w:rsid w:val="00766FF8"/>
    <w:rsid w:val="00776338"/>
    <w:rsid w:val="0078364C"/>
    <w:rsid w:val="007877B6"/>
    <w:rsid w:val="007906B4"/>
    <w:rsid w:val="00791511"/>
    <w:rsid w:val="00796003"/>
    <w:rsid w:val="007960CB"/>
    <w:rsid w:val="00796846"/>
    <w:rsid w:val="007A0FA4"/>
    <w:rsid w:val="007A187F"/>
    <w:rsid w:val="007A2184"/>
    <w:rsid w:val="007A2284"/>
    <w:rsid w:val="007A3C7C"/>
    <w:rsid w:val="007A55B6"/>
    <w:rsid w:val="007B1A75"/>
    <w:rsid w:val="007B2C54"/>
    <w:rsid w:val="007B3D95"/>
    <w:rsid w:val="007B56AF"/>
    <w:rsid w:val="007B5EF5"/>
    <w:rsid w:val="007C034D"/>
    <w:rsid w:val="007C2245"/>
    <w:rsid w:val="007C2A67"/>
    <w:rsid w:val="007C3446"/>
    <w:rsid w:val="007C4F61"/>
    <w:rsid w:val="007D267D"/>
    <w:rsid w:val="007D33C2"/>
    <w:rsid w:val="007E1C10"/>
    <w:rsid w:val="007E3BC1"/>
    <w:rsid w:val="007E5135"/>
    <w:rsid w:val="007E6B7A"/>
    <w:rsid w:val="007E7E81"/>
    <w:rsid w:val="007F02D7"/>
    <w:rsid w:val="007F749B"/>
    <w:rsid w:val="008003EA"/>
    <w:rsid w:val="008019A6"/>
    <w:rsid w:val="00801AB6"/>
    <w:rsid w:val="00803360"/>
    <w:rsid w:val="00806A5C"/>
    <w:rsid w:val="008147A5"/>
    <w:rsid w:val="0082116D"/>
    <w:rsid w:val="0082205B"/>
    <w:rsid w:val="008301A4"/>
    <w:rsid w:val="008324C4"/>
    <w:rsid w:val="00833DA0"/>
    <w:rsid w:val="00835496"/>
    <w:rsid w:val="00843527"/>
    <w:rsid w:val="00844EBD"/>
    <w:rsid w:val="00846A13"/>
    <w:rsid w:val="00851D90"/>
    <w:rsid w:val="0085230B"/>
    <w:rsid w:val="00856FC0"/>
    <w:rsid w:val="008636E4"/>
    <w:rsid w:val="00863758"/>
    <w:rsid w:val="00865E6C"/>
    <w:rsid w:val="00867965"/>
    <w:rsid w:val="00870274"/>
    <w:rsid w:val="00872B0B"/>
    <w:rsid w:val="00877DE7"/>
    <w:rsid w:val="008803AA"/>
    <w:rsid w:val="00880F82"/>
    <w:rsid w:val="00887FCD"/>
    <w:rsid w:val="00890EF9"/>
    <w:rsid w:val="00891FDE"/>
    <w:rsid w:val="00893825"/>
    <w:rsid w:val="008A223F"/>
    <w:rsid w:val="008A40EE"/>
    <w:rsid w:val="008A659C"/>
    <w:rsid w:val="008B03C3"/>
    <w:rsid w:val="008B0E55"/>
    <w:rsid w:val="008B2B38"/>
    <w:rsid w:val="008B2D5D"/>
    <w:rsid w:val="008B3489"/>
    <w:rsid w:val="008C32F7"/>
    <w:rsid w:val="008C75EB"/>
    <w:rsid w:val="008D12D8"/>
    <w:rsid w:val="008F0218"/>
    <w:rsid w:val="00904274"/>
    <w:rsid w:val="009135E9"/>
    <w:rsid w:val="00915225"/>
    <w:rsid w:val="009242C0"/>
    <w:rsid w:val="00926A9D"/>
    <w:rsid w:val="00927185"/>
    <w:rsid w:val="00932DA7"/>
    <w:rsid w:val="00940423"/>
    <w:rsid w:val="00951700"/>
    <w:rsid w:val="0095173F"/>
    <w:rsid w:val="00952A45"/>
    <w:rsid w:val="00952C38"/>
    <w:rsid w:val="009555F6"/>
    <w:rsid w:val="00956E0C"/>
    <w:rsid w:val="00960B9C"/>
    <w:rsid w:val="00960CFE"/>
    <w:rsid w:val="0096511A"/>
    <w:rsid w:val="0096574E"/>
    <w:rsid w:val="0097073F"/>
    <w:rsid w:val="00971545"/>
    <w:rsid w:val="00972A7A"/>
    <w:rsid w:val="00973B3D"/>
    <w:rsid w:val="009752E9"/>
    <w:rsid w:val="009759BC"/>
    <w:rsid w:val="00976880"/>
    <w:rsid w:val="0098104D"/>
    <w:rsid w:val="00982120"/>
    <w:rsid w:val="00982227"/>
    <w:rsid w:val="00987696"/>
    <w:rsid w:val="00995205"/>
    <w:rsid w:val="009A4647"/>
    <w:rsid w:val="009A4CEF"/>
    <w:rsid w:val="009B2906"/>
    <w:rsid w:val="009C10C0"/>
    <w:rsid w:val="009D14D7"/>
    <w:rsid w:val="009D268A"/>
    <w:rsid w:val="009D3554"/>
    <w:rsid w:val="009E006C"/>
    <w:rsid w:val="009F01F5"/>
    <w:rsid w:val="009F41EE"/>
    <w:rsid w:val="009F4D84"/>
    <w:rsid w:val="009F52C8"/>
    <w:rsid w:val="00A121B3"/>
    <w:rsid w:val="00A141AE"/>
    <w:rsid w:val="00A22B83"/>
    <w:rsid w:val="00A25310"/>
    <w:rsid w:val="00A344CD"/>
    <w:rsid w:val="00A34DB7"/>
    <w:rsid w:val="00A36D69"/>
    <w:rsid w:val="00A407EB"/>
    <w:rsid w:val="00A51E41"/>
    <w:rsid w:val="00A5447E"/>
    <w:rsid w:val="00A57BBB"/>
    <w:rsid w:val="00A600EC"/>
    <w:rsid w:val="00A60E4F"/>
    <w:rsid w:val="00A67186"/>
    <w:rsid w:val="00A73760"/>
    <w:rsid w:val="00A756F1"/>
    <w:rsid w:val="00A779A1"/>
    <w:rsid w:val="00A81A2D"/>
    <w:rsid w:val="00A828DD"/>
    <w:rsid w:val="00A82967"/>
    <w:rsid w:val="00A86541"/>
    <w:rsid w:val="00A875B4"/>
    <w:rsid w:val="00A90AC8"/>
    <w:rsid w:val="00A96728"/>
    <w:rsid w:val="00AA3E1E"/>
    <w:rsid w:val="00AA4E1F"/>
    <w:rsid w:val="00AA5AF9"/>
    <w:rsid w:val="00AB242D"/>
    <w:rsid w:val="00AB5030"/>
    <w:rsid w:val="00AB7276"/>
    <w:rsid w:val="00AB75BC"/>
    <w:rsid w:val="00AC37F8"/>
    <w:rsid w:val="00AD018C"/>
    <w:rsid w:val="00AE06D5"/>
    <w:rsid w:val="00AE21C0"/>
    <w:rsid w:val="00AE487F"/>
    <w:rsid w:val="00AE6FB5"/>
    <w:rsid w:val="00AF1823"/>
    <w:rsid w:val="00AF49C1"/>
    <w:rsid w:val="00AF5F70"/>
    <w:rsid w:val="00AF64CE"/>
    <w:rsid w:val="00B045C9"/>
    <w:rsid w:val="00B0563D"/>
    <w:rsid w:val="00B06369"/>
    <w:rsid w:val="00B06E9A"/>
    <w:rsid w:val="00B07C1A"/>
    <w:rsid w:val="00B12CF1"/>
    <w:rsid w:val="00B1325F"/>
    <w:rsid w:val="00B163D1"/>
    <w:rsid w:val="00B20281"/>
    <w:rsid w:val="00B23AD9"/>
    <w:rsid w:val="00B25FF2"/>
    <w:rsid w:val="00B27539"/>
    <w:rsid w:val="00B3340F"/>
    <w:rsid w:val="00B33848"/>
    <w:rsid w:val="00B33B60"/>
    <w:rsid w:val="00B46A1F"/>
    <w:rsid w:val="00B4700E"/>
    <w:rsid w:val="00B51CDF"/>
    <w:rsid w:val="00B55203"/>
    <w:rsid w:val="00B577B6"/>
    <w:rsid w:val="00B632A5"/>
    <w:rsid w:val="00B72140"/>
    <w:rsid w:val="00B7289B"/>
    <w:rsid w:val="00B74F09"/>
    <w:rsid w:val="00B8158C"/>
    <w:rsid w:val="00B831B9"/>
    <w:rsid w:val="00B83F99"/>
    <w:rsid w:val="00B84C8D"/>
    <w:rsid w:val="00B84C8F"/>
    <w:rsid w:val="00B87940"/>
    <w:rsid w:val="00B87C40"/>
    <w:rsid w:val="00B87EA1"/>
    <w:rsid w:val="00B90F06"/>
    <w:rsid w:val="00B931FC"/>
    <w:rsid w:val="00B94743"/>
    <w:rsid w:val="00BA44F0"/>
    <w:rsid w:val="00BB0621"/>
    <w:rsid w:val="00BB5225"/>
    <w:rsid w:val="00BC0EEE"/>
    <w:rsid w:val="00BC341D"/>
    <w:rsid w:val="00BC4157"/>
    <w:rsid w:val="00BC4C4C"/>
    <w:rsid w:val="00BD2FD3"/>
    <w:rsid w:val="00BD4169"/>
    <w:rsid w:val="00BD44E2"/>
    <w:rsid w:val="00BD7138"/>
    <w:rsid w:val="00BE5E87"/>
    <w:rsid w:val="00BE6B30"/>
    <w:rsid w:val="00BF1B66"/>
    <w:rsid w:val="00BF25BE"/>
    <w:rsid w:val="00BF42FE"/>
    <w:rsid w:val="00BF6739"/>
    <w:rsid w:val="00C0013A"/>
    <w:rsid w:val="00C00FB2"/>
    <w:rsid w:val="00C017A8"/>
    <w:rsid w:val="00C0491E"/>
    <w:rsid w:val="00C06607"/>
    <w:rsid w:val="00C07EB0"/>
    <w:rsid w:val="00C10BB6"/>
    <w:rsid w:val="00C11771"/>
    <w:rsid w:val="00C14292"/>
    <w:rsid w:val="00C14EB1"/>
    <w:rsid w:val="00C21ED9"/>
    <w:rsid w:val="00C24415"/>
    <w:rsid w:val="00C27663"/>
    <w:rsid w:val="00C3295D"/>
    <w:rsid w:val="00C33CD6"/>
    <w:rsid w:val="00C34B19"/>
    <w:rsid w:val="00C37DBF"/>
    <w:rsid w:val="00C51796"/>
    <w:rsid w:val="00C53545"/>
    <w:rsid w:val="00C544DE"/>
    <w:rsid w:val="00C56CEE"/>
    <w:rsid w:val="00C57FC6"/>
    <w:rsid w:val="00C6546F"/>
    <w:rsid w:val="00C6660A"/>
    <w:rsid w:val="00C71E56"/>
    <w:rsid w:val="00C736FD"/>
    <w:rsid w:val="00C77A29"/>
    <w:rsid w:val="00C8074E"/>
    <w:rsid w:val="00C81A43"/>
    <w:rsid w:val="00C81E94"/>
    <w:rsid w:val="00C82EB5"/>
    <w:rsid w:val="00C8302F"/>
    <w:rsid w:val="00C831D3"/>
    <w:rsid w:val="00CC2ACD"/>
    <w:rsid w:val="00CC4B2E"/>
    <w:rsid w:val="00CC580D"/>
    <w:rsid w:val="00CD34D5"/>
    <w:rsid w:val="00CD4FB1"/>
    <w:rsid w:val="00CD71B5"/>
    <w:rsid w:val="00CE08A6"/>
    <w:rsid w:val="00CE0C11"/>
    <w:rsid w:val="00CE13A1"/>
    <w:rsid w:val="00CE3523"/>
    <w:rsid w:val="00CE38FD"/>
    <w:rsid w:val="00CE673A"/>
    <w:rsid w:val="00CF12B1"/>
    <w:rsid w:val="00D047CE"/>
    <w:rsid w:val="00D05BA7"/>
    <w:rsid w:val="00D070A0"/>
    <w:rsid w:val="00D10A05"/>
    <w:rsid w:val="00D202CD"/>
    <w:rsid w:val="00D25168"/>
    <w:rsid w:val="00D310F8"/>
    <w:rsid w:val="00D3603D"/>
    <w:rsid w:val="00D36C41"/>
    <w:rsid w:val="00D3778C"/>
    <w:rsid w:val="00D40AE0"/>
    <w:rsid w:val="00D41B11"/>
    <w:rsid w:val="00D41D5C"/>
    <w:rsid w:val="00D60C45"/>
    <w:rsid w:val="00D652DD"/>
    <w:rsid w:val="00D71ACA"/>
    <w:rsid w:val="00D75C65"/>
    <w:rsid w:val="00D91AFC"/>
    <w:rsid w:val="00D925BC"/>
    <w:rsid w:val="00D9274A"/>
    <w:rsid w:val="00DA3084"/>
    <w:rsid w:val="00DA71BF"/>
    <w:rsid w:val="00DB0F97"/>
    <w:rsid w:val="00DC1317"/>
    <w:rsid w:val="00DC18FB"/>
    <w:rsid w:val="00DC5282"/>
    <w:rsid w:val="00DC5814"/>
    <w:rsid w:val="00DD4698"/>
    <w:rsid w:val="00DD5F98"/>
    <w:rsid w:val="00DE1F5E"/>
    <w:rsid w:val="00E0377F"/>
    <w:rsid w:val="00E05E98"/>
    <w:rsid w:val="00E066BF"/>
    <w:rsid w:val="00E104D7"/>
    <w:rsid w:val="00E118C5"/>
    <w:rsid w:val="00E15320"/>
    <w:rsid w:val="00E17721"/>
    <w:rsid w:val="00E2092B"/>
    <w:rsid w:val="00E211D1"/>
    <w:rsid w:val="00E221AD"/>
    <w:rsid w:val="00E248BF"/>
    <w:rsid w:val="00E333B7"/>
    <w:rsid w:val="00E34455"/>
    <w:rsid w:val="00E34A60"/>
    <w:rsid w:val="00E3783A"/>
    <w:rsid w:val="00E41987"/>
    <w:rsid w:val="00E42460"/>
    <w:rsid w:val="00E43FBB"/>
    <w:rsid w:val="00E47DF5"/>
    <w:rsid w:val="00E5155C"/>
    <w:rsid w:val="00E65C36"/>
    <w:rsid w:val="00E669F8"/>
    <w:rsid w:val="00E70B15"/>
    <w:rsid w:val="00E7193B"/>
    <w:rsid w:val="00E74D37"/>
    <w:rsid w:val="00E75E9F"/>
    <w:rsid w:val="00E8083A"/>
    <w:rsid w:val="00E82430"/>
    <w:rsid w:val="00E92C0A"/>
    <w:rsid w:val="00EA1326"/>
    <w:rsid w:val="00EA4CC4"/>
    <w:rsid w:val="00EA65BA"/>
    <w:rsid w:val="00EB114E"/>
    <w:rsid w:val="00EB2CE4"/>
    <w:rsid w:val="00EB33B8"/>
    <w:rsid w:val="00EC1F06"/>
    <w:rsid w:val="00EC3B81"/>
    <w:rsid w:val="00EC6B34"/>
    <w:rsid w:val="00ED045D"/>
    <w:rsid w:val="00ED1C67"/>
    <w:rsid w:val="00ED286F"/>
    <w:rsid w:val="00ED3531"/>
    <w:rsid w:val="00ED4A74"/>
    <w:rsid w:val="00EE1C2E"/>
    <w:rsid w:val="00EE26FD"/>
    <w:rsid w:val="00EF0AFB"/>
    <w:rsid w:val="00EF30C6"/>
    <w:rsid w:val="00EF5437"/>
    <w:rsid w:val="00EF66DD"/>
    <w:rsid w:val="00F01476"/>
    <w:rsid w:val="00F02A78"/>
    <w:rsid w:val="00F0384E"/>
    <w:rsid w:val="00F04DA2"/>
    <w:rsid w:val="00F069FC"/>
    <w:rsid w:val="00F1378D"/>
    <w:rsid w:val="00F23920"/>
    <w:rsid w:val="00F2618A"/>
    <w:rsid w:val="00F348AF"/>
    <w:rsid w:val="00F350DC"/>
    <w:rsid w:val="00F40AD3"/>
    <w:rsid w:val="00F41205"/>
    <w:rsid w:val="00F41C83"/>
    <w:rsid w:val="00F428A0"/>
    <w:rsid w:val="00F456B3"/>
    <w:rsid w:val="00F504A9"/>
    <w:rsid w:val="00F53BF0"/>
    <w:rsid w:val="00F569B6"/>
    <w:rsid w:val="00F60153"/>
    <w:rsid w:val="00F60953"/>
    <w:rsid w:val="00F60C2E"/>
    <w:rsid w:val="00F63D34"/>
    <w:rsid w:val="00F71FC5"/>
    <w:rsid w:val="00F72E94"/>
    <w:rsid w:val="00F75917"/>
    <w:rsid w:val="00F81A3E"/>
    <w:rsid w:val="00F82122"/>
    <w:rsid w:val="00F832E3"/>
    <w:rsid w:val="00F861BC"/>
    <w:rsid w:val="00F90AAB"/>
    <w:rsid w:val="00F913F0"/>
    <w:rsid w:val="00F92DEA"/>
    <w:rsid w:val="00F93268"/>
    <w:rsid w:val="00F9462B"/>
    <w:rsid w:val="00F95980"/>
    <w:rsid w:val="00FA11F2"/>
    <w:rsid w:val="00FA5247"/>
    <w:rsid w:val="00FA6007"/>
    <w:rsid w:val="00FB10CD"/>
    <w:rsid w:val="00FB653E"/>
    <w:rsid w:val="00FB7CD6"/>
    <w:rsid w:val="00FC11A8"/>
    <w:rsid w:val="00FC2FD1"/>
    <w:rsid w:val="00FC4994"/>
    <w:rsid w:val="00FC4AC1"/>
    <w:rsid w:val="00FC7DE3"/>
    <w:rsid w:val="00FD4883"/>
    <w:rsid w:val="00FE2863"/>
    <w:rsid w:val="00FE30D7"/>
    <w:rsid w:val="00FE331B"/>
    <w:rsid w:val="00FE43F7"/>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623228"/>
  <w15:docId w15:val="{8E650743-A6D9-4089-B8F1-D10897369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1C7"/>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b10pt,body,by,newBody"/>
    <w:basedOn w:val="Normal"/>
    <w:link w:val="BodyChar"/>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outlineLvl w:val="1"/>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outlineLvl w:val="2"/>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link w:val="HeaderChar"/>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 w:type="paragraph" w:customStyle="1" w:styleId="CObodynumbering">
    <w:name w:val="CO body numbering"/>
    <w:basedOn w:val="Normal"/>
    <w:rsid w:val="003C5AC7"/>
    <w:pPr>
      <w:numPr>
        <w:numId w:val="51"/>
      </w:numPr>
      <w:spacing w:after="140" w:line="290" w:lineRule="auto"/>
      <w:jc w:val="both"/>
    </w:pPr>
    <w:rPr>
      <w:kern w:val="20"/>
    </w:rPr>
  </w:style>
  <w:style w:type="numbering" w:customStyle="1" w:styleId="BodyStyle">
    <w:name w:val="BodyStyle"/>
    <w:uiPriority w:val="99"/>
    <w:rsid w:val="003C5AC7"/>
    <w:pPr>
      <w:numPr>
        <w:numId w:val="49"/>
      </w:numPr>
    </w:pPr>
  </w:style>
  <w:style w:type="character" w:customStyle="1" w:styleId="BodyChar">
    <w:name w:val="Body Char"/>
    <w:basedOn w:val="DefaultParagraphFont"/>
    <w:link w:val="Body"/>
    <w:rsid w:val="00352669"/>
    <w:rPr>
      <w:rFonts w:ascii="Arial" w:hAnsi="Arial"/>
      <w:kern w:val="20"/>
      <w:szCs w:val="24"/>
    </w:rPr>
  </w:style>
  <w:style w:type="table" w:styleId="TableGrid">
    <w:name w:val="Table Grid"/>
    <w:basedOn w:val="TableNormal"/>
    <w:rsid w:val="00210D8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Text">
    <w:name w:val="wText"/>
    <w:basedOn w:val="Normal"/>
    <w:link w:val="wTextChar"/>
    <w:uiPriority w:val="99"/>
    <w:qFormat/>
    <w:rsid w:val="00F41C83"/>
    <w:pPr>
      <w:spacing w:after="180"/>
      <w:jc w:val="both"/>
    </w:pPr>
    <w:rPr>
      <w:rFonts w:ascii="Times New Roman" w:eastAsia="MS Mincho" w:hAnsi="Times New Roman"/>
      <w:szCs w:val="22"/>
      <w:lang w:val="en-US" w:eastAsia="en-US"/>
    </w:rPr>
  </w:style>
  <w:style w:type="character" w:customStyle="1" w:styleId="wTextChar">
    <w:name w:val="wText Char"/>
    <w:basedOn w:val="DefaultParagraphFont"/>
    <w:link w:val="wText"/>
    <w:uiPriority w:val="99"/>
    <w:rsid w:val="00F41C83"/>
    <w:rPr>
      <w:rFonts w:eastAsia="MS Mincho"/>
      <w:szCs w:val="22"/>
      <w:lang w:val="en-US" w:eastAsia="en-US"/>
    </w:rPr>
  </w:style>
  <w:style w:type="table" w:customStyle="1" w:styleId="TableGrid1">
    <w:name w:val="Table Grid1"/>
    <w:basedOn w:val="TableNormal"/>
    <w:next w:val="TableGrid"/>
    <w:uiPriority w:val="59"/>
    <w:rsid w:val="003D145D"/>
    <w:rPr>
      <w:rFonts w:eastAsia="PMingLiU"/>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1700"/>
    <w:rPr>
      <w:color w:val="605E5C"/>
      <w:shd w:val="clear" w:color="auto" w:fill="E1DFDD"/>
    </w:rPr>
  </w:style>
  <w:style w:type="character" w:customStyle="1" w:styleId="HeaderChar">
    <w:name w:val="Header Char"/>
    <w:basedOn w:val="DefaultParagraphFont"/>
    <w:link w:val="Header"/>
    <w:rsid w:val="00A73760"/>
    <w:rPr>
      <w:rFonts w:ascii="Arial" w:hAnsi="Arial"/>
      <w:kern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110101">
      <w:bodyDiv w:val="1"/>
      <w:marLeft w:val="0"/>
      <w:marRight w:val="0"/>
      <w:marTop w:val="0"/>
      <w:marBottom w:val="0"/>
      <w:divBdr>
        <w:top w:val="none" w:sz="0" w:space="0" w:color="auto"/>
        <w:left w:val="none" w:sz="0" w:space="0" w:color="auto"/>
        <w:bottom w:val="none" w:sz="0" w:space="0" w:color="auto"/>
        <w:right w:val="none" w:sz="0" w:space="0" w:color="auto"/>
      </w:divBdr>
    </w:div>
    <w:div w:id="918094857">
      <w:bodyDiv w:val="1"/>
      <w:marLeft w:val="0"/>
      <w:marRight w:val="0"/>
      <w:marTop w:val="0"/>
      <w:marBottom w:val="0"/>
      <w:divBdr>
        <w:top w:val="none" w:sz="0" w:space="0" w:color="auto"/>
        <w:left w:val="none" w:sz="0" w:space="0" w:color="auto"/>
        <w:bottom w:val="none" w:sz="0" w:space="0" w:color="auto"/>
        <w:right w:val="none" w:sz="0" w:space="0" w:color="auto"/>
      </w:divBdr>
    </w:div>
    <w:div w:id="101484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glas.agency"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08784B-8955-4EC7-B816-26C139CABADC}">
  <ds:schemaRefs>
    <ds:schemaRef ds:uri="http://schemas.openxmlformats.org/officeDocument/2006/bibliography"/>
  </ds:schemaRefs>
</ds:datastoreItem>
</file>

<file path=customXml/itemProps2.xml><?xml version="1.0" encoding="utf-8"?>
<ds:datastoreItem xmlns:ds="http://schemas.openxmlformats.org/officeDocument/2006/customXml" ds:itemID="{B7032214-80AE-4528-8CDA-89BB17AB267F}"/>
</file>

<file path=customXml/itemProps3.xml><?xml version="1.0" encoding="utf-8"?>
<ds:datastoreItem xmlns:ds="http://schemas.openxmlformats.org/officeDocument/2006/customXml" ds:itemID="{275F8ED1-180E-460E-8103-7F6C789C836F}"/>
</file>

<file path=customXml/itemProps4.xml><?xml version="1.0" encoding="utf-8"?>
<ds:datastoreItem xmlns:ds="http://schemas.openxmlformats.org/officeDocument/2006/customXml" ds:itemID="{1CB20152-4F20-4104-BDF5-014B1A62E966}"/>
</file>

<file path=docProps/app.xml><?xml version="1.0" encoding="utf-8"?>
<Properties xmlns="http://schemas.openxmlformats.org/officeDocument/2006/extended-properties" xmlns:vt="http://schemas.openxmlformats.org/officeDocument/2006/docPropsVTypes">
  <Template>HouseStyle</Template>
  <TotalTime>231</TotalTime>
  <Pages>3</Pages>
  <Words>1141</Words>
  <Characters>6507</Characters>
  <Application>Microsoft Office Word</Application>
  <DocSecurity>0</DocSecurity>
  <Lines>54</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HouseStyle</vt:lpstr>
      <vt:lpstr>HouseStyle</vt:lpstr>
    </vt:vector>
  </TitlesOfParts>
  <Manager/>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subject/>
  <dc:creator>Any Authorised User</dc:creator>
  <cp:keywords/>
  <dc:description/>
  <cp:lastModifiedBy>Any Authorised User</cp:lastModifiedBy>
  <cp:revision>285</cp:revision>
  <dcterms:created xsi:type="dcterms:W3CDTF">2022-11-03T12:10:00Z</dcterms:created>
  <dcterms:modified xsi:type="dcterms:W3CDTF">2023-03-20T14:55:00Z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property>
  <property fmtid="{D5CDD505-2E9C-101B-9397-08002B2CF9AE}" pid="3" name="Document Number">
    <vt:lpwstr/>
  </property>
  <property fmtid="{D5CDD505-2E9C-101B-9397-08002B2CF9AE}" pid="4" name="Last Modified">
    <vt:lpwstr/>
  </property>
  <property fmtid="{D5CDD505-2E9C-101B-9397-08002B2CF9AE}" pid="5" name="Template Version">
    <vt:lpwstr>R.160</vt:lpwstr>
  </property>
  <property fmtid="{D5CDD505-2E9C-101B-9397-08002B2CF9AE}" pid="6" name="CoverPage">
    <vt:lpwstr>No</vt:lpwstr>
  </property>
  <property fmtid="{D5CDD505-2E9C-101B-9397-08002B2CF9AE}" pid="7" name="Language">
    <vt:lpwstr>English (U.K.)</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y fmtid="{D5CDD505-2E9C-101B-9397-08002B2CF9AE}" pid="17" name="Lineleader">
    <vt:lpwstr>No</vt:lpwstr>
  </property>
  <property fmtid="{D5CDD505-2E9C-101B-9397-08002B2CF9AE}" pid="18" name="Client Code">
    <vt:lpwstr/>
  </property>
  <property fmtid="{D5CDD505-2E9C-101B-9397-08002B2CF9AE}" pid="19" name="DEDocumentLocation">
    <vt:lpwstr>C:\Users\sying\OneDrive - Linklaters\Desktop\DTEK\DTEK Holdings_Tender Offer Change in Maximum Acceptance Amount Announcement.docx</vt:lpwstr>
  </property>
  <property fmtid="{D5CDD505-2E9C-101B-9397-08002B2CF9AE}" pid="20" name="Matter Number">
    <vt:lpwstr/>
  </property>
  <property fmtid="{D5CDD505-2E9C-101B-9397-08002B2CF9AE}" pid="21" name="Mode">
    <vt:lpwstr>Export</vt:lpwstr>
  </property>
  <property fmtid="{D5CDD505-2E9C-101B-9397-08002B2CF9AE}" pid="22" name="ObjectID">
    <vt:lpwstr/>
  </property>
</Properties>
</file>