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15DC" w14:textId="77777777" w:rsidR="006859AF" w:rsidRDefault="00CE0B8F" w:rsidP="0021595C">
      <w:pPr>
        <w:spacing w:after="100" w:afterAutospacing="1" w:line="240" w:lineRule="auto"/>
        <w:rPr>
          <w:rFonts w:ascii="Helvetica" w:eastAsia="Times New Roman" w:hAnsi="Helvetica" w:cs="Helvetica"/>
          <w:b/>
          <w:bCs/>
          <w:i/>
          <w:iCs/>
          <w:color w:val="002060"/>
          <w:kern w:val="0"/>
          <w:sz w:val="21"/>
          <w:szCs w:val="21"/>
          <w:u w:val="single"/>
          <w:lang w:val="en-IE"/>
          <w14:ligatures w14:val="none"/>
        </w:rPr>
      </w:pPr>
      <w:r>
        <w:rPr>
          <w:rFonts w:ascii="Helvetica" w:eastAsia="Times New Roman" w:hAnsi="Helvetica" w:cs="Helvetica"/>
          <w:b/>
          <w:bCs/>
          <w:i/>
          <w:iCs/>
          <w:color w:val="002060"/>
          <w:kern w:val="0"/>
          <w:sz w:val="21"/>
          <w:szCs w:val="21"/>
          <w:u w:val="single"/>
          <w:lang w:val="en-IE"/>
          <w14:ligatures w14:val="none"/>
        </w:rPr>
        <w:t xml:space="preserve">FIDELITY </w:t>
      </w:r>
      <w:r w:rsidR="00C92B33">
        <w:rPr>
          <w:rFonts w:ascii="Helvetica" w:eastAsia="Times New Roman" w:hAnsi="Helvetica" w:cs="Helvetica"/>
          <w:b/>
          <w:bCs/>
          <w:i/>
          <w:iCs/>
          <w:color w:val="002060"/>
          <w:kern w:val="0"/>
          <w:sz w:val="21"/>
          <w:szCs w:val="21"/>
          <w:u w:val="single"/>
          <w:lang w:val="en-IE"/>
          <w14:ligatures w14:val="none"/>
        </w:rPr>
        <w:t>EMERGING MARKET</w:t>
      </w:r>
      <w:r w:rsidR="00193963">
        <w:rPr>
          <w:rFonts w:ascii="Helvetica" w:eastAsia="Times New Roman" w:hAnsi="Helvetica" w:cs="Helvetica"/>
          <w:b/>
          <w:bCs/>
          <w:i/>
          <w:iCs/>
          <w:color w:val="002060"/>
          <w:kern w:val="0"/>
          <w:sz w:val="21"/>
          <w:szCs w:val="21"/>
          <w:u w:val="single"/>
          <w:lang w:val="en-IE"/>
          <w14:ligatures w14:val="none"/>
        </w:rPr>
        <w:t>S</w:t>
      </w:r>
      <w:r w:rsidR="00C92B33">
        <w:rPr>
          <w:rFonts w:ascii="Helvetica" w:eastAsia="Times New Roman" w:hAnsi="Helvetica" w:cs="Helvetica"/>
          <w:b/>
          <w:bCs/>
          <w:i/>
          <w:iCs/>
          <w:color w:val="002060"/>
          <w:kern w:val="0"/>
          <w:sz w:val="21"/>
          <w:szCs w:val="21"/>
          <w:u w:val="single"/>
          <w:lang w:val="en-IE"/>
          <w14:ligatures w14:val="none"/>
        </w:rPr>
        <w:t xml:space="preserve"> QUALITY</w:t>
      </w:r>
      <w:r w:rsidR="00193963">
        <w:rPr>
          <w:rFonts w:ascii="Helvetica" w:eastAsia="Times New Roman" w:hAnsi="Helvetica" w:cs="Helvetica"/>
          <w:b/>
          <w:bCs/>
          <w:i/>
          <w:iCs/>
          <w:color w:val="002060"/>
          <w:kern w:val="0"/>
          <w:sz w:val="21"/>
          <w:szCs w:val="21"/>
          <w:u w:val="single"/>
          <w:lang w:val="en-IE"/>
          <w14:ligatures w14:val="none"/>
        </w:rPr>
        <w:t xml:space="preserve"> INCOME UCITS</w:t>
      </w:r>
    </w:p>
    <w:p w14:paraId="5F621325" w14:textId="77777777" w:rsidR="006859AF" w:rsidRDefault="006859AF" w:rsidP="0021595C">
      <w:pPr>
        <w:spacing w:after="100" w:afterAutospacing="1" w:line="240" w:lineRule="auto"/>
        <w:rPr>
          <w:rFonts w:ascii="Helvetica" w:eastAsia="Times New Roman" w:hAnsi="Helvetica" w:cs="Helvetica"/>
          <w:b/>
          <w:bCs/>
          <w:i/>
          <w:iCs/>
          <w:color w:val="002060"/>
          <w:kern w:val="0"/>
          <w:sz w:val="21"/>
          <w:szCs w:val="21"/>
          <w:u w:val="single"/>
          <w:lang w:val="en-IE"/>
          <w14:ligatures w14:val="none"/>
        </w:rPr>
      </w:pPr>
    </w:p>
    <w:p w14:paraId="05F93EED" w14:textId="5361861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color w:val="002060"/>
          <w:kern w:val="0"/>
          <w:sz w:val="21"/>
          <w:szCs w:val="21"/>
          <w:lang w:val="en-IE"/>
          <w14:ligatures w14:val="none"/>
        </w:rPr>
        <w:t>Hi All,</w:t>
      </w:r>
    </w:p>
    <w:p w14:paraId="45EFC238"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color w:val="002060"/>
          <w:kern w:val="0"/>
          <w:sz w:val="21"/>
          <w:szCs w:val="21"/>
          <w:lang w:val="en-IE"/>
          <w14:ligatures w14:val="none"/>
        </w:rPr>
        <w:t> </w:t>
      </w:r>
    </w:p>
    <w:p w14:paraId="19FABA0F"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color w:val="002060"/>
          <w:kern w:val="0"/>
          <w:sz w:val="21"/>
          <w:szCs w:val="21"/>
          <w:lang w:val="en-IE"/>
          <w14:ligatures w14:val="none"/>
        </w:rPr>
        <w:t>Can you please review if relevant to your systems and confirm the below changes are in place?</w:t>
      </w:r>
    </w:p>
    <w:p w14:paraId="42C09183"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color w:val="002060"/>
          <w:kern w:val="0"/>
          <w:sz w:val="21"/>
          <w:szCs w:val="21"/>
          <w:lang w:val="en-IE"/>
          <w14:ligatures w14:val="none"/>
        </w:rPr>
        <w:t> </w:t>
      </w:r>
    </w:p>
    <w:p w14:paraId="709B340A"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color w:val="002060"/>
          <w:kern w:val="0"/>
          <w:sz w:val="21"/>
          <w:szCs w:val="21"/>
          <w:lang w:val="en-IE"/>
          <w14:ligatures w14:val="none"/>
        </w:rPr>
        <w:t>If they are not can you please update and if possible set the effective date of this change to the below mentioned date</w:t>
      </w:r>
    </w:p>
    <w:p w14:paraId="0D286197"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color w:val="000000"/>
          <w:kern w:val="0"/>
          <w:sz w:val="21"/>
          <w:szCs w:val="21"/>
          <w:lang w:val="en-IE"/>
          <w14:ligatures w14:val="none"/>
        </w:rPr>
        <w:t> </w:t>
      </w:r>
    </w:p>
    <w:p w14:paraId="61349E5E"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color w:val="002060"/>
          <w:kern w:val="0"/>
          <w:sz w:val="21"/>
          <w:szCs w:val="21"/>
          <w:lang w:val="en-IE"/>
          <w14:ligatures w14:val="none"/>
        </w:rPr>
        <w:t>Please note a repurpose will take place of </w:t>
      </w:r>
      <w:r w:rsidRPr="0021595C">
        <w:rPr>
          <w:rFonts w:ascii="Helvetica" w:eastAsia="Times New Roman" w:hAnsi="Helvetica" w:cs="Helvetica"/>
          <w:b/>
          <w:bCs/>
          <w:color w:val="002060"/>
          <w:kern w:val="0"/>
          <w:sz w:val="21"/>
          <w:szCs w:val="21"/>
          <w:lang w:val="en-IE"/>
          <w14:ligatures w14:val="none"/>
        </w:rPr>
        <w:t xml:space="preserve">the below mentioned Quality Income ETF </w:t>
      </w:r>
      <w:proofErr w:type="spellStart"/>
      <w:r w:rsidRPr="0021595C">
        <w:rPr>
          <w:rFonts w:ascii="Helvetica" w:eastAsia="Times New Roman" w:hAnsi="Helvetica" w:cs="Helvetica"/>
          <w:b/>
          <w:bCs/>
          <w:color w:val="002060"/>
          <w:kern w:val="0"/>
          <w:sz w:val="21"/>
          <w:szCs w:val="21"/>
          <w:lang w:val="en-IE"/>
          <w14:ligatures w14:val="none"/>
        </w:rPr>
        <w:t>Shareclasses</w:t>
      </w:r>
      <w:proofErr w:type="spellEnd"/>
      <w:r w:rsidRPr="0021595C">
        <w:rPr>
          <w:rFonts w:ascii="Helvetica" w:eastAsia="Times New Roman" w:hAnsi="Helvetica" w:cs="Helvetica"/>
          <w:color w:val="002060"/>
          <w:kern w:val="0"/>
          <w:sz w:val="21"/>
          <w:szCs w:val="21"/>
          <w:lang w:val="en-IE"/>
          <w14:ligatures w14:val="none"/>
        </w:rPr>
        <w:t>, effective </w:t>
      </w:r>
      <w:r w:rsidRPr="0021595C">
        <w:rPr>
          <w:rFonts w:ascii="Helvetica" w:eastAsia="Times New Roman" w:hAnsi="Helvetica" w:cs="Helvetica"/>
          <w:b/>
          <w:bCs/>
          <w:color w:val="002060"/>
          <w:kern w:val="0"/>
          <w:sz w:val="21"/>
          <w:szCs w:val="21"/>
          <w:lang w:val="en-IE"/>
          <w14:ligatures w14:val="none"/>
        </w:rPr>
        <w:t>26/07/2023</w:t>
      </w:r>
      <w:r w:rsidRPr="0021595C">
        <w:rPr>
          <w:rFonts w:ascii="Helvetica" w:eastAsia="Times New Roman" w:hAnsi="Helvetica" w:cs="Helvetica"/>
          <w:color w:val="002060"/>
          <w:kern w:val="0"/>
          <w:sz w:val="21"/>
          <w:szCs w:val="21"/>
          <w:lang w:val="en-IE"/>
          <w14:ligatures w14:val="none"/>
        </w:rPr>
        <w:t>.</w:t>
      </w:r>
    </w:p>
    <w:p w14:paraId="3AAC650C"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color w:val="002060"/>
          <w:kern w:val="0"/>
          <w:sz w:val="21"/>
          <w:szCs w:val="21"/>
          <w:lang w:val="en-IE"/>
          <w14:ligatures w14:val="none"/>
        </w:rPr>
        <w:t> </w:t>
      </w:r>
    </w:p>
    <w:p w14:paraId="02AD6297"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b/>
          <w:bCs/>
          <w:color w:val="002060"/>
          <w:kern w:val="0"/>
          <w:sz w:val="21"/>
          <w:szCs w:val="21"/>
          <w:u w:val="single"/>
          <w:lang w:val="en-IE"/>
          <w14:ligatures w14:val="none"/>
        </w:rPr>
        <w:t>Background:</w:t>
      </w:r>
    </w:p>
    <w:p w14:paraId="50ABFD8A"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b/>
          <w:bCs/>
          <w:color w:val="002060"/>
          <w:kern w:val="0"/>
          <w:sz w:val="21"/>
          <w:szCs w:val="21"/>
          <w:lang w:val="en-IE"/>
          <w14:ligatures w14:val="none"/>
        </w:rPr>
        <w:t> </w:t>
      </w:r>
    </w:p>
    <w:p w14:paraId="712A8A4C"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Calibri" w:eastAsia="Times New Roman" w:hAnsi="Calibri" w:cs="Calibri"/>
          <w:i/>
          <w:iCs/>
          <w:color w:val="002060"/>
          <w:kern w:val="0"/>
          <w:lang w:val="en-IE"/>
          <w14:ligatures w14:val="none"/>
        </w:rPr>
        <w:t>The Quality Income ETFs were first launched in 2017 and the range currently has c.$1.8bn AUM. These are passively managed ETFs that track custom Fidelity Indices. Following client feedback, in February 2021, we enhanced the Fidelity Quality Income Index family to incorporate a range of business activity-based exclusions.</w:t>
      </w:r>
    </w:p>
    <w:p w14:paraId="08087D6C"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Calibri" w:eastAsia="Times New Roman" w:hAnsi="Calibri" w:cs="Calibri"/>
          <w:i/>
          <w:iCs/>
          <w:color w:val="002060"/>
          <w:kern w:val="0"/>
          <w:lang w:val="en-IE"/>
          <w14:ligatures w14:val="none"/>
        </w:rPr>
        <w:t>In a further evolution of the ESG approach for these indices in response to feedback from Distribution colleagues and client demand to further enhance the approach, we are proposing implementing additional rules within the index methodology to enhance the sustainability credentials.</w:t>
      </w:r>
    </w:p>
    <w:p w14:paraId="48C05CCB"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Calibri" w:eastAsia="Times New Roman" w:hAnsi="Calibri" w:cs="Calibri"/>
          <w:i/>
          <w:iCs/>
          <w:color w:val="002060"/>
          <w:kern w:val="0"/>
          <w:lang w:val="en-IE"/>
          <w14:ligatures w14:val="none"/>
        </w:rPr>
        <w:t>The proposed additional new ESG rules are outlined below in figure 1 (BAC). These rules are identical to those included in the Thematic Index ETFs (also index tracking custom Fidelity indices) launched in September 2022.</w:t>
      </w:r>
    </w:p>
    <w:p w14:paraId="16B4B94E"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i/>
          <w:iCs/>
          <w:color w:val="002060"/>
          <w:kern w:val="0"/>
          <w:sz w:val="21"/>
          <w:szCs w:val="21"/>
          <w:lang w:val="en-IE"/>
          <w14:ligatures w14:val="none"/>
        </w:rPr>
        <w:t>We have worked alongside the Sustainable Investing team and FMR’s Index team to define these additional rules and back test results demonstrate a largely similar risk-return profile while also maintaining a yield uplift versus the broad market with no material long-term impact.</w:t>
      </w:r>
    </w:p>
    <w:p w14:paraId="2E35ABD8"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color w:val="002060"/>
          <w:kern w:val="0"/>
          <w:sz w:val="21"/>
          <w:szCs w:val="21"/>
          <w:lang w:val="en-IE"/>
          <w14:ligatures w14:val="none"/>
        </w:rPr>
        <w:t> </w:t>
      </w:r>
    </w:p>
    <w:p w14:paraId="5C0E5462"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b/>
          <w:bCs/>
          <w:color w:val="002060"/>
          <w:kern w:val="0"/>
          <w:sz w:val="21"/>
          <w:szCs w:val="21"/>
          <w:lang w:val="en-IE"/>
          <w14:ligatures w14:val="none"/>
        </w:rPr>
        <w:t>Key changes</w:t>
      </w:r>
      <w:r w:rsidRPr="0021595C">
        <w:rPr>
          <w:rFonts w:ascii="Helvetica" w:eastAsia="Times New Roman" w:hAnsi="Helvetica" w:cs="Helvetica"/>
          <w:color w:val="002060"/>
          <w:kern w:val="0"/>
          <w:sz w:val="21"/>
          <w:szCs w:val="21"/>
          <w:lang w:val="en-IE"/>
          <w14:ligatures w14:val="none"/>
        </w:rPr>
        <w:t> are noted below for reference:</w:t>
      </w:r>
    </w:p>
    <w:p w14:paraId="2CC8286B"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color w:val="002060"/>
          <w:kern w:val="0"/>
          <w:sz w:val="21"/>
          <w:szCs w:val="21"/>
          <w:lang w:val="en-IE"/>
          <w14:ligatures w14:val="none"/>
        </w:rPr>
        <w:t> </w:t>
      </w:r>
    </w:p>
    <w:p w14:paraId="15C34B2B"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color w:val="002060"/>
          <w:kern w:val="0"/>
          <w:sz w:val="21"/>
          <w:szCs w:val="21"/>
          <w:lang w:val="en-IE"/>
          <w14:ligatures w14:val="none"/>
        </w:rPr>
        <w:lastRenderedPageBreak/>
        <w:t>*Please make sure any relevant systems are updated accordingly for your respective teams.</w:t>
      </w:r>
    </w:p>
    <w:p w14:paraId="0027703D"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color w:val="002060"/>
          <w:kern w:val="0"/>
          <w:sz w:val="21"/>
          <w:szCs w:val="21"/>
          <w:lang w:val="en-IE"/>
          <w14:ligatures w14:val="none"/>
        </w:rPr>
        <w:t> </w:t>
      </w:r>
    </w:p>
    <w:p w14:paraId="04098FCF" w14:textId="77777777" w:rsidR="0021595C" w:rsidRPr="0021595C" w:rsidRDefault="0021595C" w:rsidP="0021595C">
      <w:pPr>
        <w:numPr>
          <w:ilvl w:val="1"/>
          <w:numId w:val="1"/>
        </w:numPr>
        <w:spacing w:before="100" w:beforeAutospacing="1" w:after="100" w:afterAutospacing="1" w:line="240" w:lineRule="auto"/>
        <w:rPr>
          <w:rFonts w:ascii="Helvetica" w:eastAsia="Times New Roman" w:hAnsi="Helvetica" w:cs="Helvetica"/>
          <w:color w:val="002060"/>
          <w:kern w:val="0"/>
          <w:sz w:val="21"/>
          <w:szCs w:val="21"/>
          <w14:ligatures w14:val="none"/>
        </w:rPr>
      </w:pPr>
      <w:r w:rsidRPr="0021595C">
        <w:rPr>
          <w:rFonts w:ascii="Helvetica" w:eastAsia="Times New Roman" w:hAnsi="Helvetica" w:cs="Helvetica"/>
          <w:color w:val="002060"/>
          <w:kern w:val="0"/>
          <w:sz w:val="21"/>
          <w:szCs w:val="21"/>
          <w:lang w:val="en-IE"/>
          <w14:ligatures w14:val="none"/>
        </w:rPr>
        <w:t>Index ESG enhancements have been implemented in the May rebalance.</w:t>
      </w:r>
    </w:p>
    <w:p w14:paraId="7DDE9BCA" w14:textId="77777777" w:rsidR="0021595C" w:rsidRPr="0021595C" w:rsidRDefault="0021595C" w:rsidP="0021595C">
      <w:pPr>
        <w:numPr>
          <w:ilvl w:val="1"/>
          <w:numId w:val="1"/>
        </w:numPr>
        <w:spacing w:before="100" w:beforeAutospacing="1" w:after="100" w:afterAutospacing="1" w:line="240" w:lineRule="auto"/>
        <w:rPr>
          <w:rFonts w:ascii="Helvetica" w:eastAsia="Times New Roman" w:hAnsi="Helvetica" w:cs="Helvetica"/>
          <w:color w:val="002060"/>
          <w:kern w:val="0"/>
          <w:sz w:val="21"/>
          <w:szCs w:val="21"/>
          <w14:ligatures w14:val="none"/>
        </w:rPr>
      </w:pPr>
      <w:r w:rsidRPr="0021595C">
        <w:rPr>
          <w:rFonts w:ascii="Helvetica" w:eastAsia="Times New Roman" w:hAnsi="Helvetica" w:cs="Helvetica"/>
          <w:color w:val="002060"/>
          <w:kern w:val="0"/>
          <w:sz w:val="21"/>
          <w:szCs w:val="21"/>
          <w:lang w:val="en-IE"/>
          <w14:ligatures w14:val="none"/>
        </w:rPr>
        <w:t>We are now clear of regulatory comment and shareholder notification has been issued.</w:t>
      </w:r>
    </w:p>
    <w:p w14:paraId="600B874F" w14:textId="77777777" w:rsidR="0021595C" w:rsidRPr="0021595C" w:rsidRDefault="0021595C" w:rsidP="0021595C">
      <w:pPr>
        <w:numPr>
          <w:ilvl w:val="1"/>
          <w:numId w:val="1"/>
        </w:numPr>
        <w:spacing w:before="100" w:beforeAutospacing="1" w:after="100" w:afterAutospacing="1" w:line="240" w:lineRule="auto"/>
        <w:rPr>
          <w:rFonts w:ascii="Helvetica" w:eastAsia="Times New Roman" w:hAnsi="Helvetica" w:cs="Helvetica"/>
          <w:color w:val="002060"/>
          <w:kern w:val="0"/>
          <w:sz w:val="21"/>
          <w:szCs w:val="21"/>
          <w14:ligatures w14:val="none"/>
        </w:rPr>
      </w:pPr>
      <w:r w:rsidRPr="0021595C">
        <w:rPr>
          <w:rFonts w:ascii="Helvetica" w:eastAsia="Times New Roman" w:hAnsi="Helvetica" w:cs="Helvetica"/>
          <w:color w:val="002060"/>
          <w:kern w:val="0"/>
          <w:sz w:val="21"/>
          <w:szCs w:val="21"/>
          <w:lang w:val="en-IE"/>
          <w14:ligatures w14:val="none"/>
        </w:rPr>
        <w:t>Client comms sent, and Article 8 should be enabled from around the 26th July - please change from 6 to 8</w:t>
      </w:r>
    </w:p>
    <w:p w14:paraId="3552BD30"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color w:val="002060"/>
          <w:kern w:val="0"/>
          <w:sz w:val="21"/>
          <w:szCs w:val="21"/>
          <w:lang w:val="en-IE"/>
          <w14:ligatures w14:val="none"/>
        </w:rPr>
        <w:t> </w:t>
      </w:r>
    </w:p>
    <w:p w14:paraId="4230ABF6" w14:textId="77777777" w:rsidR="0021595C" w:rsidRPr="0021595C" w:rsidRDefault="0021595C" w:rsidP="0021595C">
      <w:pPr>
        <w:spacing w:after="100" w:afterAutospacing="1" w:line="240" w:lineRule="auto"/>
        <w:rPr>
          <w:rFonts w:ascii="Helvetica" w:eastAsia="Times New Roman" w:hAnsi="Helvetica" w:cs="Helvetica"/>
          <w:color w:val="000000"/>
          <w:kern w:val="0"/>
          <w:sz w:val="21"/>
          <w:szCs w:val="21"/>
          <w14:ligatures w14:val="none"/>
        </w:rPr>
      </w:pPr>
      <w:r w:rsidRPr="0021595C">
        <w:rPr>
          <w:rFonts w:ascii="Helvetica" w:eastAsia="Times New Roman" w:hAnsi="Helvetica" w:cs="Helvetica"/>
          <w:color w:val="000000"/>
          <w:kern w:val="0"/>
          <w:sz w:val="21"/>
          <w:szCs w:val="21"/>
          <w:lang w:val="en-IE"/>
          <w14:ligatures w14:val="none"/>
        </w:rPr>
        <w:t> </w:t>
      </w:r>
    </w:p>
    <w:sectPr w:rsidR="0021595C" w:rsidRPr="0021595C">
      <w:footerReference w:type="even" r:id="rId7"/>
      <w:footerReference w:type="default" r:id="rId8"/>
      <w:foot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EA9F" w14:textId="77777777" w:rsidR="0021595C" w:rsidRDefault="0021595C" w:rsidP="0021595C">
      <w:pPr>
        <w:spacing w:after="0" w:line="240" w:lineRule="auto"/>
      </w:pPr>
      <w:r>
        <w:separator/>
      </w:r>
    </w:p>
  </w:endnote>
  <w:endnote w:type="continuationSeparator" w:id="0">
    <w:p w14:paraId="5DAE9E35" w14:textId="77777777" w:rsidR="0021595C" w:rsidRDefault="0021595C" w:rsidP="0021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BBA6" w14:textId="73AB22E3" w:rsidR="0021595C" w:rsidRDefault="0021595C">
    <w:pPr>
      <w:pStyle w:val="Footer"/>
    </w:pPr>
    <w:r>
      <w:rPr>
        <w:noProof/>
      </w:rPr>
      <mc:AlternateContent>
        <mc:Choice Requires="wps">
          <w:drawing>
            <wp:anchor distT="0" distB="0" distL="0" distR="0" simplePos="0" relativeHeight="251659264" behindDoc="0" locked="0" layoutInCell="1" allowOverlap="1" wp14:anchorId="076659BA" wp14:editId="0CA34A0C">
              <wp:simplePos x="635" y="635"/>
              <wp:positionH relativeFrom="page">
                <wp:align>center</wp:align>
              </wp:positionH>
              <wp:positionV relativeFrom="page">
                <wp:align>bottom</wp:align>
              </wp:positionV>
              <wp:extent cx="443865" cy="443865"/>
              <wp:effectExtent l="0" t="0" r="1587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AD6973" w14:textId="5BB32F27" w:rsidR="0021595C" w:rsidRPr="0021595C" w:rsidRDefault="0021595C" w:rsidP="0021595C">
                          <w:pPr>
                            <w:spacing w:after="0"/>
                            <w:rPr>
                              <w:rFonts w:ascii="Calibri" w:eastAsia="Calibri" w:hAnsi="Calibri" w:cs="Calibri"/>
                              <w:noProof/>
                              <w:color w:val="000000"/>
                              <w:sz w:val="20"/>
                              <w:szCs w:val="20"/>
                            </w:rPr>
                          </w:pPr>
                          <w:r w:rsidRPr="0021595C">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6659BA"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4AD6973" w14:textId="5BB32F27" w:rsidR="0021595C" w:rsidRPr="0021595C" w:rsidRDefault="0021595C" w:rsidP="0021595C">
                    <w:pPr>
                      <w:spacing w:after="0"/>
                      <w:rPr>
                        <w:rFonts w:ascii="Calibri" w:eastAsia="Calibri" w:hAnsi="Calibri" w:cs="Calibri"/>
                        <w:noProof/>
                        <w:color w:val="000000"/>
                        <w:sz w:val="20"/>
                        <w:szCs w:val="20"/>
                      </w:rPr>
                    </w:pPr>
                    <w:r w:rsidRPr="0021595C">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EA93" w14:textId="46A09AB9" w:rsidR="0021595C" w:rsidRDefault="0021595C">
    <w:pPr>
      <w:pStyle w:val="Footer"/>
    </w:pPr>
    <w:r>
      <w:rPr>
        <w:noProof/>
      </w:rPr>
      <mc:AlternateContent>
        <mc:Choice Requires="wps">
          <w:drawing>
            <wp:anchor distT="0" distB="0" distL="0" distR="0" simplePos="0" relativeHeight="251660288" behindDoc="0" locked="0" layoutInCell="1" allowOverlap="1" wp14:anchorId="1A5C8F3D" wp14:editId="07FBAA54">
              <wp:simplePos x="914400" y="9439275"/>
              <wp:positionH relativeFrom="page">
                <wp:align>center</wp:align>
              </wp:positionH>
              <wp:positionV relativeFrom="page">
                <wp:align>bottom</wp:align>
              </wp:positionV>
              <wp:extent cx="443865" cy="443865"/>
              <wp:effectExtent l="0" t="0" r="15875"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5BD07D" w14:textId="2C5A0BA0" w:rsidR="0021595C" w:rsidRPr="0021595C" w:rsidRDefault="0021595C" w:rsidP="0021595C">
                          <w:pPr>
                            <w:spacing w:after="0"/>
                            <w:rPr>
                              <w:rFonts w:ascii="Calibri" w:eastAsia="Calibri" w:hAnsi="Calibri" w:cs="Calibri"/>
                              <w:noProof/>
                              <w:color w:val="000000"/>
                              <w:sz w:val="20"/>
                              <w:szCs w:val="20"/>
                            </w:rPr>
                          </w:pPr>
                          <w:r w:rsidRPr="0021595C">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C8F3D"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B5BD07D" w14:textId="2C5A0BA0" w:rsidR="0021595C" w:rsidRPr="0021595C" w:rsidRDefault="0021595C" w:rsidP="0021595C">
                    <w:pPr>
                      <w:spacing w:after="0"/>
                      <w:rPr>
                        <w:rFonts w:ascii="Calibri" w:eastAsia="Calibri" w:hAnsi="Calibri" w:cs="Calibri"/>
                        <w:noProof/>
                        <w:color w:val="000000"/>
                        <w:sz w:val="20"/>
                        <w:szCs w:val="20"/>
                      </w:rPr>
                    </w:pPr>
                    <w:r w:rsidRPr="0021595C">
                      <w:rPr>
                        <w:rFonts w:ascii="Calibri" w:eastAsia="Calibri" w:hAnsi="Calibri"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DC3B" w14:textId="371A6610" w:rsidR="0021595C" w:rsidRDefault="0021595C">
    <w:pPr>
      <w:pStyle w:val="Footer"/>
    </w:pPr>
    <w:r>
      <w:rPr>
        <w:noProof/>
      </w:rPr>
      <mc:AlternateContent>
        <mc:Choice Requires="wps">
          <w:drawing>
            <wp:anchor distT="0" distB="0" distL="0" distR="0" simplePos="0" relativeHeight="251658240" behindDoc="0" locked="0" layoutInCell="1" allowOverlap="1" wp14:anchorId="0ACA493C" wp14:editId="3FBCC5FF">
              <wp:simplePos x="635" y="635"/>
              <wp:positionH relativeFrom="page">
                <wp:align>center</wp:align>
              </wp:positionH>
              <wp:positionV relativeFrom="page">
                <wp:align>bottom</wp:align>
              </wp:positionV>
              <wp:extent cx="443865" cy="443865"/>
              <wp:effectExtent l="0" t="0" r="1587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D9BBE6" w14:textId="7E0A4257" w:rsidR="0021595C" w:rsidRPr="0021595C" w:rsidRDefault="0021595C" w:rsidP="0021595C">
                          <w:pPr>
                            <w:spacing w:after="0"/>
                            <w:rPr>
                              <w:rFonts w:ascii="Calibri" w:eastAsia="Calibri" w:hAnsi="Calibri" w:cs="Calibri"/>
                              <w:noProof/>
                              <w:color w:val="000000"/>
                              <w:sz w:val="20"/>
                              <w:szCs w:val="20"/>
                            </w:rPr>
                          </w:pPr>
                          <w:r w:rsidRPr="0021595C">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CA493C"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AD9BBE6" w14:textId="7E0A4257" w:rsidR="0021595C" w:rsidRPr="0021595C" w:rsidRDefault="0021595C" w:rsidP="0021595C">
                    <w:pPr>
                      <w:spacing w:after="0"/>
                      <w:rPr>
                        <w:rFonts w:ascii="Calibri" w:eastAsia="Calibri" w:hAnsi="Calibri" w:cs="Calibri"/>
                        <w:noProof/>
                        <w:color w:val="000000"/>
                        <w:sz w:val="20"/>
                        <w:szCs w:val="20"/>
                      </w:rPr>
                    </w:pPr>
                    <w:r w:rsidRPr="0021595C">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0D655" w14:textId="77777777" w:rsidR="0021595C" w:rsidRDefault="0021595C" w:rsidP="0021595C">
      <w:pPr>
        <w:spacing w:after="0" w:line="240" w:lineRule="auto"/>
      </w:pPr>
      <w:r>
        <w:separator/>
      </w:r>
    </w:p>
  </w:footnote>
  <w:footnote w:type="continuationSeparator" w:id="0">
    <w:p w14:paraId="1F567B82" w14:textId="77777777" w:rsidR="0021595C" w:rsidRDefault="0021595C" w:rsidP="00215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971F1"/>
    <w:multiLevelType w:val="multilevel"/>
    <w:tmpl w:val="1990EC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96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5C"/>
    <w:rsid w:val="00193963"/>
    <w:rsid w:val="0021595C"/>
    <w:rsid w:val="00266CDF"/>
    <w:rsid w:val="003C084B"/>
    <w:rsid w:val="006859AF"/>
    <w:rsid w:val="00823C10"/>
    <w:rsid w:val="00C92B33"/>
    <w:rsid w:val="00CE0B8F"/>
    <w:rsid w:val="00EF2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1974"/>
  <w15:chartTrackingRefBased/>
  <w15:docId w15:val="{A4B1EA4F-5DA4-4E33-B755-B0AC6D13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595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95C"/>
    <w:rPr>
      <w:rFonts w:ascii="Times New Roman" w:eastAsia="Times New Roman" w:hAnsi="Times New Roman" w:cs="Times New Roman"/>
      <w:b/>
      <w:bCs/>
      <w:kern w:val="36"/>
      <w:sz w:val="48"/>
      <w:szCs w:val="48"/>
      <w14:ligatures w14:val="none"/>
    </w:rPr>
  </w:style>
  <w:style w:type="paragraph" w:customStyle="1" w:styleId="default">
    <w:name w:val="default"/>
    <w:basedOn w:val="Normal"/>
    <w:rsid w:val="002159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159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1595C"/>
    <w:rPr>
      <w:color w:val="0000FF"/>
      <w:u w:val="single"/>
    </w:rPr>
  </w:style>
  <w:style w:type="paragraph" w:styleId="Footer">
    <w:name w:val="footer"/>
    <w:basedOn w:val="Normal"/>
    <w:link w:val="FooterChar"/>
    <w:uiPriority w:val="99"/>
    <w:unhideWhenUsed/>
    <w:rsid w:val="00215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2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8D7C7-E877-4CDE-8085-FB716C1D0771}"/>
</file>

<file path=customXml/itemProps2.xml><?xml version="1.0" encoding="utf-8"?>
<ds:datastoreItem xmlns:ds="http://schemas.openxmlformats.org/officeDocument/2006/customXml" ds:itemID="{B2FF8ED4-2852-451E-BAD9-AE05A2477AF7}"/>
</file>

<file path=customXml/itemProps3.xml><?xml version="1.0" encoding="utf-8"?>
<ds:datastoreItem xmlns:ds="http://schemas.openxmlformats.org/officeDocument/2006/customXml" ds:itemID="{B5405125-6D3C-4F94-B83C-98FF9F53BE16}"/>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1631</Characters>
  <Application>Microsoft Office Word</Application>
  <DocSecurity>0</DocSecurity>
  <Lines>13</Lines>
  <Paragraphs>3</Paragraphs>
  <ScaleCrop>false</ScaleCrop>
  <Company>Deutsche Boerse Group</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O'Riordan</dc:creator>
  <cp:keywords/>
  <dc:description/>
  <cp:lastModifiedBy>Jason O'Riordan</cp:lastModifiedBy>
  <cp:revision>2</cp:revision>
  <dcterms:created xsi:type="dcterms:W3CDTF">2024-03-21T15:45:00Z</dcterms:created>
  <dcterms:modified xsi:type="dcterms:W3CDTF">2024-03-21T15:45:00Z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2e952e98-911c-4aff-840a-f71bc6baaf7f_Enabled">
    <vt:lpwstr>true</vt:lpwstr>
  </property>
  <property fmtid="{D5CDD505-2E9C-101B-9397-08002B2CF9AE}" pid="6" name="MSIP_Label_2e952e98-911c-4aff-840a-f71bc6baaf7f_SetDate">
    <vt:lpwstr>2024-03-21T10:00:20Z</vt:lpwstr>
  </property>
  <property fmtid="{D5CDD505-2E9C-101B-9397-08002B2CF9AE}" pid="7" name="MSIP_Label_2e952e98-911c-4aff-840a-f71bc6baaf7f_Method">
    <vt:lpwstr>Standard</vt:lpwstr>
  </property>
  <property fmtid="{D5CDD505-2E9C-101B-9397-08002B2CF9AE}" pid="8" name="MSIP_Label_2e952e98-911c-4aff-840a-f71bc6baaf7f_Name">
    <vt:lpwstr>2e952e98-911c-4aff-840a-f71bc6baaf7f</vt:lpwstr>
  </property>
  <property fmtid="{D5CDD505-2E9C-101B-9397-08002B2CF9AE}" pid="9" name="MSIP_Label_2e952e98-911c-4aff-840a-f71bc6baaf7f_SiteId">
    <vt:lpwstr>e00ddcdf-1e0f-4be5-a37a-894a4731986a</vt:lpwstr>
  </property>
  <property fmtid="{D5CDD505-2E9C-101B-9397-08002B2CF9AE}" pid="10" name="MSIP_Label_2e952e98-911c-4aff-840a-f71bc6baaf7f_ActionId">
    <vt:lpwstr>8602100e-e8db-4cba-9ed9-4ab5735c2895</vt:lpwstr>
  </property>
  <property fmtid="{D5CDD505-2E9C-101B-9397-08002B2CF9AE}" pid="11" name="MSIP_Label_2e952e98-911c-4aff-840a-f71bc6baaf7f_ContentBits">
    <vt:lpwstr>2</vt:lpwstr>
  </property>
</Properties>
</file>