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4863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THIS NOTICE IS IMPORTANT</w:t>
      </w:r>
      <w:r w:rsidRPr="004F0349">
        <w:rPr>
          <w:spacing w:val="-6"/>
        </w:rPr>
        <w:t xml:space="preserve"> </w:t>
      </w:r>
      <w:r w:rsidRPr="004F0349">
        <w:t>AND REQUIRES THE IMMEDIATE ATTENTION OF NOTEHOLDERS. IF NOTEHOLDERS ARE IN ANY DOUBT</w:t>
      </w:r>
      <w:r w:rsidRPr="004F0349">
        <w:rPr>
          <w:spacing w:val="-6"/>
        </w:rPr>
        <w:t xml:space="preserve"> </w:t>
      </w:r>
      <w:r w:rsidRPr="004F0349">
        <w:t>AS TO THE</w:t>
      </w:r>
      <w:r w:rsidRPr="004F0349">
        <w:rPr>
          <w:spacing w:val="-1"/>
        </w:rPr>
        <w:t xml:space="preserve"> </w:t>
      </w:r>
      <w:r w:rsidRPr="004F0349">
        <w:t>ACTION THEY SHOULD TAKE, THEY SHOULD SEEK</w:t>
      </w:r>
      <w:r w:rsidRPr="004F0349">
        <w:rPr>
          <w:spacing w:val="-15"/>
        </w:rPr>
        <w:t xml:space="preserve"> </w:t>
      </w:r>
      <w:r w:rsidRPr="004F0349">
        <w:t>THEIR</w:t>
      </w:r>
      <w:r w:rsidRPr="004F0349">
        <w:rPr>
          <w:spacing w:val="-9"/>
        </w:rPr>
        <w:t xml:space="preserve"> </w:t>
      </w:r>
      <w:r w:rsidRPr="004F0349">
        <w:t>OWN</w:t>
      </w:r>
      <w:r w:rsidRPr="004F0349">
        <w:rPr>
          <w:spacing w:val="-6"/>
        </w:rPr>
        <w:t xml:space="preserve"> </w:t>
      </w:r>
      <w:r w:rsidRPr="004F0349">
        <w:t>FINANCIAL</w:t>
      </w:r>
      <w:r w:rsidRPr="004F0349">
        <w:rPr>
          <w:spacing w:val="-27"/>
        </w:rPr>
        <w:t xml:space="preserve"> </w:t>
      </w:r>
      <w:r w:rsidRPr="004F0349">
        <w:t>AND</w:t>
      </w:r>
      <w:r w:rsidRPr="004F0349">
        <w:rPr>
          <w:spacing w:val="-6"/>
        </w:rPr>
        <w:t xml:space="preserve"> </w:t>
      </w:r>
      <w:r w:rsidRPr="004F0349">
        <w:t>LEGAL</w:t>
      </w:r>
      <w:r w:rsidRPr="004F0349">
        <w:rPr>
          <w:spacing w:val="-27"/>
        </w:rPr>
        <w:t xml:space="preserve"> </w:t>
      </w:r>
      <w:r w:rsidRPr="004F0349">
        <w:t>ADVICE,</w:t>
      </w:r>
      <w:r w:rsidRPr="004F0349">
        <w:rPr>
          <w:spacing w:val="-6"/>
        </w:rPr>
        <w:t xml:space="preserve"> </w:t>
      </w:r>
      <w:r w:rsidRPr="004F0349">
        <w:t>INCLUDING</w:t>
      </w:r>
      <w:r w:rsidRPr="004F0349">
        <w:rPr>
          <w:spacing w:val="-15"/>
        </w:rPr>
        <w:t xml:space="preserve"> </w:t>
      </w:r>
      <w:r w:rsidRPr="004F0349">
        <w:t>AS TO</w:t>
      </w:r>
      <w:r w:rsidRPr="004F0349">
        <w:rPr>
          <w:spacing w:val="-1"/>
        </w:rPr>
        <w:t xml:space="preserve"> </w:t>
      </w:r>
      <w:r w:rsidRPr="004F0349">
        <w:t>ANY</w:t>
      </w:r>
      <w:r w:rsidRPr="004F0349">
        <w:rPr>
          <w:spacing w:val="-1"/>
        </w:rPr>
        <w:t xml:space="preserve"> </w:t>
      </w:r>
      <w:r w:rsidRPr="004F0349">
        <w:t>TAX CONSEQUENCES, IMMEDIATELY FROM THEIR STOCKBROKER, SOLICITOR, ACCOUNTANT OR OTHER INDEPENDENT FINANCIAL OR LEGAL</w:t>
      </w:r>
      <w:r w:rsidRPr="004F0349">
        <w:rPr>
          <w:spacing w:val="-1"/>
        </w:rPr>
        <w:t xml:space="preserve"> </w:t>
      </w:r>
      <w:r w:rsidRPr="004F0349">
        <w:t>ADVISER.</w:t>
      </w:r>
    </w:p>
    <w:p w14:paraId="68F6E823" w14:textId="77777777" w:rsidR="00EE1455" w:rsidRPr="004F0349" w:rsidRDefault="00EE1455" w:rsidP="00BC4FE6">
      <w:pPr>
        <w:pStyle w:val="BodyText"/>
        <w:spacing w:before="232" w:line="273" w:lineRule="exact"/>
        <w:jc w:val="center"/>
      </w:pPr>
      <w:r w:rsidRPr="004F0349">
        <w:t>IMPORTANT</w:t>
      </w:r>
      <w:r w:rsidRPr="004F0349">
        <w:rPr>
          <w:spacing w:val="-14"/>
        </w:rPr>
        <w:t xml:space="preserve"> </w:t>
      </w:r>
      <w:r w:rsidRPr="004F0349">
        <w:t>NOTICE</w:t>
      </w:r>
      <w:r w:rsidRPr="004F0349">
        <w:rPr>
          <w:spacing w:val="-11"/>
        </w:rPr>
        <w:t xml:space="preserve"> </w:t>
      </w:r>
      <w:r w:rsidRPr="004F0349">
        <w:t>TO</w:t>
      </w:r>
      <w:r w:rsidRPr="004F0349">
        <w:rPr>
          <w:spacing w:val="-10"/>
        </w:rPr>
        <w:t xml:space="preserve"> </w:t>
      </w:r>
      <w:r w:rsidRPr="004F0349">
        <w:t>THE</w:t>
      </w:r>
      <w:r w:rsidRPr="004F0349">
        <w:rPr>
          <w:spacing w:val="-6"/>
        </w:rPr>
        <w:t xml:space="preserve"> </w:t>
      </w:r>
      <w:r w:rsidRPr="004F0349">
        <w:t>HOLDERS</w:t>
      </w:r>
      <w:r w:rsidRPr="004F0349">
        <w:rPr>
          <w:spacing w:val="-5"/>
        </w:rPr>
        <w:t xml:space="preserve"> </w:t>
      </w:r>
      <w:r w:rsidRPr="004F0349">
        <w:t>OF</w:t>
      </w:r>
      <w:r w:rsidRPr="004F0349">
        <w:rPr>
          <w:spacing w:val="-15"/>
        </w:rPr>
        <w:t xml:space="preserve"> </w:t>
      </w:r>
      <w:r w:rsidRPr="004F0349">
        <w:rPr>
          <w:spacing w:val="-5"/>
        </w:rPr>
        <w:t>THE</w:t>
      </w:r>
    </w:p>
    <w:p w14:paraId="63346F50" w14:textId="77777777" w:rsidR="00EE1455" w:rsidRPr="004F0349" w:rsidRDefault="00EE1455" w:rsidP="00BC4FE6">
      <w:pPr>
        <w:pStyle w:val="BodyText"/>
        <w:spacing w:before="2" w:line="235" w:lineRule="auto"/>
        <w:jc w:val="center"/>
      </w:pPr>
      <w:r w:rsidRPr="004F0349">
        <w:t>Class</w:t>
      </w:r>
      <w:r w:rsidRPr="004F0349">
        <w:rPr>
          <w:spacing w:val="-15"/>
        </w:rPr>
        <w:t xml:space="preserve"> </w:t>
      </w:r>
      <w:r w:rsidRPr="004F0349">
        <w:t>A3a</w:t>
      </w:r>
      <w:r w:rsidRPr="004F0349">
        <w:rPr>
          <w:spacing w:val="-7"/>
        </w:rPr>
        <w:t xml:space="preserve"> </w:t>
      </w:r>
      <w:r w:rsidRPr="004F0349">
        <w:t>€139,500,000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A3a Notes") (Rule 144A Notes ISIN: US29881AAG58 CUSIP: 29881AAG5 Reg S ISIN: XS0291422623)</w:t>
      </w:r>
    </w:p>
    <w:p w14:paraId="6D9F3FC7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15"/>
        </w:rPr>
        <w:t xml:space="preserve"> </w:t>
      </w:r>
      <w:r w:rsidRPr="004F0349">
        <w:t>A3c</w:t>
      </w:r>
      <w:r w:rsidRPr="004F0349">
        <w:rPr>
          <w:spacing w:val="-7"/>
        </w:rPr>
        <w:t xml:space="preserve"> </w:t>
      </w:r>
      <w:r w:rsidRPr="004F0349">
        <w:t>£75,000,000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</w:t>
      </w:r>
      <w:r w:rsidRPr="004F0349">
        <w:rPr>
          <w:spacing w:val="-3"/>
        </w:rPr>
        <w:t xml:space="preserve"> </w:t>
      </w:r>
      <w:r w:rsidRPr="004F0349">
        <w:t>A3c Notes") (Rule 144A</w:t>
      </w:r>
      <w:r w:rsidRPr="004F0349">
        <w:rPr>
          <w:spacing w:val="-3"/>
        </w:rPr>
        <w:t xml:space="preserve"> </w:t>
      </w:r>
      <w:r w:rsidRPr="004F0349">
        <w:t>Notes ISIN: US29881AAJ975 CUSIP: 29881AAJ9 Reg S ISIN: XS0291423605)</w:t>
      </w:r>
    </w:p>
    <w:p w14:paraId="115EAED4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M1a</w:t>
      </w:r>
      <w:r w:rsidRPr="004F0349">
        <w:rPr>
          <w:spacing w:val="-5"/>
        </w:rPr>
        <w:t xml:space="preserve"> </w:t>
      </w:r>
      <w:r w:rsidRPr="004F0349">
        <w:t>€25,000,000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M1a Notes") (Rule 144A</w:t>
      </w:r>
      <w:r w:rsidRPr="004F0349">
        <w:rPr>
          <w:spacing w:val="-1"/>
        </w:rPr>
        <w:t xml:space="preserve"> </w:t>
      </w:r>
      <w:r w:rsidRPr="004F0349">
        <w:t>Notes ISIN: US29881AAK60 CUSIP: 29881AAK6 Reg S ISIN: XS0291424165)</w:t>
      </w:r>
    </w:p>
    <w:p w14:paraId="7865C677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M1c</w:t>
      </w:r>
      <w:r w:rsidRPr="004F0349">
        <w:rPr>
          <w:spacing w:val="-5"/>
        </w:rPr>
        <w:t xml:space="preserve"> </w:t>
      </w:r>
      <w:r w:rsidRPr="004F0349">
        <w:t>£5,000,000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M1c Notes") (Rule 144A</w:t>
      </w:r>
      <w:r w:rsidRPr="004F0349">
        <w:rPr>
          <w:spacing w:val="-13"/>
        </w:rPr>
        <w:t xml:space="preserve"> </w:t>
      </w:r>
      <w:r w:rsidRPr="004F0349">
        <w:t>Notes ISIN: US29881AAM27 CUSIP: 29881AAM2 Reg S ISIN: XS0291426889)</w:t>
      </w:r>
    </w:p>
    <w:p w14:paraId="737BC00F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B1a</w:t>
      </w:r>
      <w:r w:rsidRPr="004F0349">
        <w:rPr>
          <w:spacing w:val="-5"/>
        </w:rPr>
        <w:t xml:space="preserve"> </w:t>
      </w:r>
      <w:r w:rsidRPr="004F0349">
        <w:t>€28,300,000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B1a Notes") (Rule 144A</w:t>
      </w:r>
      <w:r w:rsidRPr="004F0349">
        <w:rPr>
          <w:spacing w:val="-1"/>
        </w:rPr>
        <w:t xml:space="preserve"> </w:t>
      </w:r>
      <w:r w:rsidRPr="004F0349">
        <w:t>Notes ISIN: US29881AAN00 CUSIP: 29881AAN0 Reg S ISIN: XS0291433158)</w:t>
      </w:r>
    </w:p>
    <w:p w14:paraId="6D83F0F7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B1c</w:t>
      </w:r>
      <w:r w:rsidRPr="004F0349">
        <w:rPr>
          <w:spacing w:val="-5"/>
        </w:rPr>
        <w:t xml:space="preserve"> </w:t>
      </w:r>
      <w:r w:rsidRPr="004F0349">
        <w:t>£15,000,000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B1c Notes") (Rule 144A</w:t>
      </w:r>
      <w:r w:rsidRPr="004F0349">
        <w:rPr>
          <w:spacing w:val="-1"/>
        </w:rPr>
        <w:t xml:space="preserve"> </w:t>
      </w:r>
      <w:r w:rsidRPr="004F0349">
        <w:t>Notes ISIN: US29881AAQ31 CUSIP: 29881AAQ3 Reg S ISIN: XS0291434123)</w:t>
      </w:r>
    </w:p>
    <w:p w14:paraId="79C014C2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C1a</w:t>
      </w:r>
      <w:r w:rsidRPr="004F0349">
        <w:rPr>
          <w:spacing w:val="-5"/>
        </w:rPr>
        <w:t xml:space="preserve"> </w:t>
      </w:r>
      <w:r w:rsidRPr="004F0349">
        <w:t>€30,200,000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C1a Notes") (Rule 144A</w:t>
      </w:r>
      <w:r w:rsidRPr="004F0349">
        <w:rPr>
          <w:spacing w:val="-1"/>
        </w:rPr>
        <w:t xml:space="preserve"> </w:t>
      </w:r>
      <w:r w:rsidRPr="004F0349">
        <w:t>Notes ISIN: US29881AAR14 CUSIP: 29881AAR1 Reg S ISIN: XS0291436250)</w:t>
      </w:r>
    </w:p>
    <w:p w14:paraId="58E95F5F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D1a</w:t>
      </w:r>
      <w:r w:rsidRPr="004F0349">
        <w:rPr>
          <w:spacing w:val="-5"/>
        </w:rPr>
        <w:t xml:space="preserve"> </w:t>
      </w:r>
      <w:r w:rsidRPr="004F0349">
        <w:t>€13,400,000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D1a Notes") (Rule 144A</w:t>
      </w:r>
      <w:r w:rsidRPr="004F0349">
        <w:rPr>
          <w:spacing w:val="-1"/>
        </w:rPr>
        <w:t xml:space="preserve"> </w:t>
      </w:r>
      <w:r w:rsidRPr="004F0349">
        <w:t>Notes ISIN: US29881AAU43 CUSIP: 29881AAU4 Reg S ISIN: XS0291441417)</w:t>
      </w:r>
    </w:p>
    <w:p w14:paraId="0BFC93F6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D1c</w:t>
      </w:r>
      <w:r w:rsidRPr="004F0349">
        <w:rPr>
          <w:spacing w:val="-5"/>
        </w:rPr>
        <w:t xml:space="preserve"> </w:t>
      </w:r>
      <w:r w:rsidRPr="004F0349">
        <w:t>£7,000,000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D1c Notes") (Rule 144A</w:t>
      </w:r>
      <w:r w:rsidRPr="004F0349">
        <w:rPr>
          <w:spacing w:val="-14"/>
        </w:rPr>
        <w:t xml:space="preserve"> </w:t>
      </w:r>
      <w:r w:rsidRPr="004F0349">
        <w:t>Notes ISIN: US29881AAW09 CUSIP: 29881AAW0 Reg S ISIN: XS0291442498)</w:t>
      </w:r>
    </w:p>
    <w:p w14:paraId="73C4ECAD" w14:textId="77777777" w:rsidR="00EE1455" w:rsidRPr="004F0349" w:rsidRDefault="00EE1455" w:rsidP="00BC4FE6">
      <w:pPr>
        <w:pStyle w:val="BodyText"/>
        <w:spacing w:line="235" w:lineRule="auto"/>
        <w:jc w:val="center"/>
      </w:pPr>
      <w:r w:rsidRPr="004F0349">
        <w:t>Class</w:t>
      </w:r>
      <w:r w:rsidRPr="004F0349">
        <w:rPr>
          <w:spacing w:val="-5"/>
        </w:rPr>
        <w:t xml:space="preserve"> </w:t>
      </w:r>
      <w:r w:rsidRPr="004F0349">
        <w:t>E1c</w:t>
      </w:r>
      <w:r w:rsidRPr="004F0349">
        <w:rPr>
          <w:spacing w:val="-5"/>
        </w:rPr>
        <w:t xml:space="preserve"> </w:t>
      </w:r>
      <w:r w:rsidRPr="004F0349">
        <w:t>£3,800,000</w:t>
      </w:r>
      <w:r w:rsidRPr="004F0349">
        <w:rPr>
          <w:spacing w:val="-5"/>
        </w:rPr>
        <w:t xml:space="preserve"> </w:t>
      </w:r>
      <w:proofErr w:type="gramStart"/>
      <w:r w:rsidRPr="004F0349">
        <w:t>mortgage</w:t>
      </w:r>
      <w:r w:rsidRPr="004F0349">
        <w:rPr>
          <w:spacing w:val="-5"/>
        </w:rPr>
        <w:t xml:space="preserve"> </w:t>
      </w:r>
      <w:r w:rsidRPr="004F0349">
        <w:t>backed</w:t>
      </w:r>
      <w:proofErr w:type="gramEnd"/>
      <w:r w:rsidRPr="004F0349">
        <w:rPr>
          <w:spacing w:val="-5"/>
        </w:rPr>
        <w:t xml:space="preserve"> </w:t>
      </w:r>
      <w:r w:rsidRPr="004F0349">
        <w:t>floating</w:t>
      </w:r>
      <w:r w:rsidRPr="004F0349">
        <w:rPr>
          <w:spacing w:val="-5"/>
        </w:rPr>
        <w:t xml:space="preserve"> </w:t>
      </w:r>
      <w:r w:rsidRPr="004F0349">
        <w:t>rate</w:t>
      </w:r>
      <w:r w:rsidRPr="004F0349">
        <w:rPr>
          <w:spacing w:val="-5"/>
        </w:rPr>
        <w:t xml:space="preserve"> </w:t>
      </w:r>
      <w:r w:rsidRPr="004F0349">
        <w:t>notes</w:t>
      </w:r>
      <w:r w:rsidRPr="004F0349">
        <w:rPr>
          <w:spacing w:val="-5"/>
        </w:rPr>
        <w:t xml:space="preserve"> </w:t>
      </w:r>
      <w:r w:rsidRPr="004F0349">
        <w:t>due</w:t>
      </w:r>
      <w:r w:rsidRPr="004F0349">
        <w:rPr>
          <w:spacing w:val="-5"/>
        </w:rPr>
        <w:t xml:space="preserve"> </w:t>
      </w:r>
      <w:r w:rsidRPr="004F0349">
        <w:t>March</w:t>
      </w:r>
      <w:r w:rsidRPr="004F0349">
        <w:rPr>
          <w:spacing w:val="-5"/>
        </w:rPr>
        <w:t xml:space="preserve"> </w:t>
      </w:r>
      <w:r w:rsidRPr="004F0349">
        <w:t>2045 (the "Class E1c Notes") (Reg S ISIN: XS0291443892)</w:t>
      </w:r>
    </w:p>
    <w:p w14:paraId="64B89E69" w14:textId="77777777" w:rsidR="00EE1455" w:rsidRPr="004F0349" w:rsidRDefault="00EE1455" w:rsidP="00BC4FE6">
      <w:pPr>
        <w:pStyle w:val="BodyText"/>
        <w:spacing w:line="268" w:lineRule="exact"/>
        <w:jc w:val="center"/>
      </w:pPr>
      <w:r w:rsidRPr="004F0349">
        <w:t xml:space="preserve">10,000 Residual </w:t>
      </w:r>
      <w:r w:rsidRPr="004F0349">
        <w:rPr>
          <w:spacing w:val="-2"/>
        </w:rPr>
        <w:t>Certificates</w:t>
      </w:r>
    </w:p>
    <w:p w14:paraId="19A1FBD6" w14:textId="77777777" w:rsidR="00EE1455" w:rsidRPr="004F0349" w:rsidRDefault="00EE1455" w:rsidP="00BC4FE6">
      <w:pPr>
        <w:pStyle w:val="BodyText"/>
        <w:spacing w:line="273" w:lineRule="exact"/>
        <w:jc w:val="center"/>
      </w:pPr>
      <w:r w:rsidRPr="004F0349">
        <w:t xml:space="preserve">(the "Residual Certificates") (Reg S ISIN: </w:t>
      </w:r>
      <w:r w:rsidRPr="004F0349">
        <w:rPr>
          <w:spacing w:val="-2"/>
        </w:rPr>
        <w:t>XS0293849914)</w:t>
      </w:r>
    </w:p>
    <w:p w14:paraId="76470479" w14:textId="77777777" w:rsidR="00EE1455" w:rsidRPr="004F0349" w:rsidRDefault="00EE1455" w:rsidP="00BC4FE6">
      <w:pPr>
        <w:pStyle w:val="BodyText"/>
        <w:spacing w:before="256" w:line="235" w:lineRule="auto"/>
        <w:jc w:val="center"/>
      </w:pPr>
      <w:r w:rsidRPr="004F0349">
        <w:t>issued by EUROSAIL-UK</w:t>
      </w:r>
      <w:r w:rsidRPr="004F0349">
        <w:rPr>
          <w:spacing w:val="-15"/>
        </w:rPr>
        <w:t xml:space="preserve"> </w:t>
      </w:r>
      <w:r w:rsidRPr="004F0349">
        <w:t>2007-2NP</w:t>
      </w:r>
      <w:r w:rsidRPr="004F0349">
        <w:rPr>
          <w:spacing w:val="-15"/>
        </w:rPr>
        <w:t xml:space="preserve"> </w:t>
      </w:r>
      <w:proofErr w:type="gramStart"/>
      <w:r w:rsidRPr="004F0349">
        <w:t>PLC</w:t>
      </w:r>
      <w:proofErr w:type="gramEnd"/>
    </w:p>
    <w:p w14:paraId="556E03AC" w14:textId="77777777" w:rsidR="00EE1455" w:rsidRPr="004F0349" w:rsidRDefault="00EE1455" w:rsidP="00BC4FE6">
      <w:pPr>
        <w:pStyle w:val="BodyText"/>
        <w:spacing w:line="271" w:lineRule="exact"/>
        <w:jc w:val="center"/>
        <w:rPr>
          <w:spacing w:val="-2"/>
        </w:rPr>
      </w:pPr>
      <w:r w:rsidRPr="004F0349">
        <w:t xml:space="preserve">(the </w:t>
      </w:r>
      <w:r w:rsidRPr="004F0349">
        <w:rPr>
          <w:spacing w:val="-2"/>
        </w:rPr>
        <w:t>"Issuer")</w:t>
      </w:r>
    </w:p>
    <w:p w14:paraId="411A6BFA" w14:textId="77777777" w:rsidR="00BC4FE6" w:rsidRPr="004F0349" w:rsidRDefault="00EE1455" w:rsidP="00BC4FE6">
      <w:pPr>
        <w:pStyle w:val="BodyText"/>
        <w:spacing w:line="271" w:lineRule="exact"/>
        <w:jc w:val="center"/>
        <w:sectPr w:rsidR="00BC4FE6" w:rsidRPr="004F034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F0349">
        <w:t>on or about 29 March 2007</w:t>
      </w:r>
    </w:p>
    <w:p w14:paraId="0E1E2037" w14:textId="7C90B9AF" w:rsidR="00EE1455" w:rsidRPr="004F0349" w:rsidRDefault="00EE1455" w:rsidP="003C643B">
      <w:pPr>
        <w:pStyle w:val="BodyText"/>
        <w:spacing w:line="271" w:lineRule="exact"/>
        <w:jc w:val="both"/>
        <w:rPr>
          <w:b w:val="0"/>
          <w:bCs w:val="0"/>
        </w:rPr>
      </w:pPr>
      <w:r w:rsidRPr="004F0349">
        <w:lastRenderedPageBreak/>
        <w:t>The Class A3a Notes, Class A3c Notes, Class M1a Notes, Class M1c Notes, Class B1a Notes, Class B1c Notes, Class C1a Notes, Class D1a Notes, Class D1c Notes</w:t>
      </w:r>
      <w:r w:rsidRPr="004F0349">
        <w:rPr>
          <w:b w:val="0"/>
          <w:bCs w:val="0"/>
        </w:rPr>
        <w:t xml:space="preserve">, and </w:t>
      </w:r>
      <w:r w:rsidRPr="004F0349">
        <w:t>Class E1c Notes</w:t>
      </w:r>
      <w:r w:rsidRPr="004F0349">
        <w:rPr>
          <w:b w:val="0"/>
          <w:bCs w:val="0"/>
        </w:rPr>
        <w:t xml:space="preserve"> are together referred to as the </w:t>
      </w:r>
      <w:r w:rsidR="00623745" w:rsidRPr="004F0349">
        <w:rPr>
          <w:b w:val="0"/>
          <w:bCs w:val="0"/>
        </w:rPr>
        <w:t>“</w:t>
      </w:r>
      <w:r w:rsidRPr="004F0349">
        <w:t>Notes</w:t>
      </w:r>
      <w:r w:rsidR="00623745" w:rsidRPr="004F0349">
        <w:rPr>
          <w:b w:val="0"/>
          <w:bCs w:val="0"/>
        </w:rPr>
        <w:t>”</w:t>
      </w:r>
      <w:r w:rsidRPr="004F0349">
        <w:rPr>
          <w:b w:val="0"/>
          <w:bCs w:val="0"/>
        </w:rPr>
        <w:t>.</w:t>
      </w:r>
    </w:p>
    <w:p w14:paraId="667636B4" w14:textId="77777777" w:rsidR="00EE1455" w:rsidRPr="004F0349" w:rsidRDefault="00EE1455" w:rsidP="003C643B">
      <w:pPr>
        <w:pStyle w:val="BodyText"/>
        <w:spacing w:line="271" w:lineRule="exact"/>
        <w:jc w:val="both"/>
        <w:rPr>
          <w:b w:val="0"/>
          <w:bCs w:val="0"/>
        </w:rPr>
      </w:pPr>
    </w:p>
    <w:p w14:paraId="76FE7DD8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  <w:proofErr w:type="spellStart"/>
      <w:r w:rsidRPr="004F0349">
        <w:rPr>
          <w:b w:val="0"/>
          <w:bCs w:val="0"/>
        </w:rPr>
        <w:t>Capitalised</w:t>
      </w:r>
      <w:proofErr w:type="spellEnd"/>
      <w:r w:rsidRPr="004F0349">
        <w:rPr>
          <w:b w:val="0"/>
          <w:bCs w:val="0"/>
        </w:rPr>
        <w:t xml:space="preserve"> terms used but not otherwise defined in this notice shall have the meanings ascribed to them in the master definitions schedule attached as schedule 1 to the master </w:t>
      </w:r>
      <w:proofErr w:type="spellStart"/>
      <w:r w:rsidRPr="004F0349">
        <w:rPr>
          <w:b w:val="0"/>
          <w:bCs w:val="0"/>
        </w:rPr>
        <w:t>securitisation</w:t>
      </w:r>
      <w:proofErr w:type="spellEnd"/>
      <w:r w:rsidRPr="004F0349">
        <w:rPr>
          <w:b w:val="0"/>
          <w:bCs w:val="0"/>
        </w:rPr>
        <w:t xml:space="preserve"> agreement dated 29 March 2007 between, amongst others, the Issuer and BNY Mellon Corporate Trustee Services Limited.</w:t>
      </w:r>
    </w:p>
    <w:p w14:paraId="1C2EB3AB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</w:p>
    <w:p w14:paraId="46AF65B0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  <w:r w:rsidRPr="004F0349">
        <w:rPr>
          <w:b w:val="0"/>
          <w:bCs w:val="0"/>
        </w:rPr>
        <w:t>As a result of certain downgrades of the short-term rating of Danske Bank A/S, London Branch (the “</w:t>
      </w:r>
      <w:r w:rsidRPr="004F0349">
        <w:t>Liquidity Facility Provider</w:t>
      </w:r>
      <w:r w:rsidRPr="004F0349">
        <w:rPr>
          <w:b w:val="0"/>
          <w:bCs w:val="0"/>
        </w:rPr>
        <w:t xml:space="preserve">”), a Ratings Downgrade Event occurred which constituted a Stand-by Liquidity Event under the Liquidity Facility Agreement. Consequently, on </w:t>
      </w:r>
      <w:bookmarkStart w:id="0" w:name="_Hlk160111099"/>
      <w:r w:rsidRPr="004F0349">
        <w:rPr>
          <w:b w:val="0"/>
          <w:bCs w:val="0"/>
        </w:rPr>
        <w:t>4 August 2020</w:t>
      </w:r>
      <w:bookmarkEnd w:id="0"/>
      <w:r w:rsidRPr="004F0349">
        <w:rPr>
          <w:b w:val="0"/>
          <w:bCs w:val="0"/>
        </w:rPr>
        <w:t>, the Issuer made a Stand-by Drawing in an amount equal to the Available Commitment of £32,175,000.00.</w:t>
      </w:r>
    </w:p>
    <w:p w14:paraId="51DCDE1D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</w:p>
    <w:p w14:paraId="2141DBD3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  <w:r w:rsidRPr="004F0349">
        <w:rPr>
          <w:b w:val="0"/>
          <w:bCs w:val="0"/>
        </w:rPr>
        <w:t xml:space="preserve">Following a review of the ratings of the Liquidity Facility Provider (together with the relevant counterparty risk assessment methodologies), and recent engagement with Moody’s, the Issuer has concluded that a Ratings Upgrade Event has occurred with respect to the Liquidity Facility Provider and consequently the Stand-by Drawing has been fully repaid by the Issuer on </w:t>
      </w:r>
      <w:bookmarkStart w:id="1" w:name="_Hlk160111181"/>
      <w:r w:rsidRPr="004F0349">
        <w:rPr>
          <w:b w:val="0"/>
          <w:bCs w:val="0"/>
        </w:rPr>
        <w:t xml:space="preserve">27 February 2024 </w:t>
      </w:r>
      <w:bookmarkEnd w:id="1"/>
      <w:r w:rsidRPr="004F0349">
        <w:rPr>
          <w:b w:val="0"/>
          <w:bCs w:val="0"/>
        </w:rPr>
        <w:t>in accordance with the terms of the Liquidity Facility Agreement.</w:t>
      </w:r>
    </w:p>
    <w:p w14:paraId="769AE698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</w:p>
    <w:p w14:paraId="2F8D5738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  <w:r w:rsidRPr="004F0349">
        <w:rPr>
          <w:b w:val="0"/>
          <w:bCs w:val="0"/>
        </w:rPr>
        <w:t>The Cash Bond Administrator has determined that accrued interest due on the Stand-by Drawing totals £2,959,475.83, which will be paid to the Liquidity Facility Provider on the next Interest Payment Date in accordance with the relevant Priority of Payments.</w:t>
      </w:r>
    </w:p>
    <w:p w14:paraId="5C57DEE0" w14:textId="77777777" w:rsidR="00CB2F89" w:rsidRPr="004F0349" w:rsidRDefault="00CB2F89" w:rsidP="003C643B">
      <w:pPr>
        <w:pStyle w:val="BodyText"/>
        <w:spacing w:line="271" w:lineRule="exact"/>
        <w:jc w:val="both"/>
        <w:rPr>
          <w:b w:val="0"/>
          <w:bCs w:val="0"/>
        </w:rPr>
      </w:pPr>
    </w:p>
    <w:p w14:paraId="320E27EB" w14:textId="77777777" w:rsidR="00CB2F89" w:rsidRPr="004F0349" w:rsidRDefault="00CB2F89" w:rsidP="00CB2F89">
      <w:pPr>
        <w:pStyle w:val="BodyText"/>
        <w:spacing w:line="271" w:lineRule="exact"/>
      </w:pPr>
      <w:r w:rsidRPr="004F0349">
        <w:t>Queries may be addressed to the Issuer as follows:</w:t>
      </w:r>
    </w:p>
    <w:p w14:paraId="641E3577" w14:textId="77777777" w:rsidR="00CB2F89" w:rsidRPr="004F0349" w:rsidRDefault="00CB2F89" w:rsidP="00CB2F89">
      <w:pPr>
        <w:pStyle w:val="BodyText"/>
        <w:spacing w:line="271" w:lineRule="exact"/>
      </w:pPr>
    </w:p>
    <w:p w14:paraId="75F600ED" w14:textId="77777777" w:rsidR="00CB2F89" w:rsidRPr="004F0349" w:rsidRDefault="00CB2F89" w:rsidP="00CB2F89">
      <w:pPr>
        <w:pStyle w:val="BodyText"/>
        <w:spacing w:line="271" w:lineRule="exact"/>
      </w:pPr>
      <w:proofErr w:type="spellStart"/>
      <w:r w:rsidRPr="004F0349">
        <w:t>Eurosail</w:t>
      </w:r>
      <w:proofErr w:type="spellEnd"/>
      <w:r w:rsidRPr="004F0349">
        <w:t>-UK 2007-2NP PLC</w:t>
      </w:r>
    </w:p>
    <w:p w14:paraId="798E771C" w14:textId="77777777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</w:p>
    <w:p w14:paraId="545658BC" w14:textId="77777777" w:rsidR="001B6560" w:rsidRDefault="00CB2F8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 xml:space="preserve">c/o Wilmington Trust SP Services (London) Limited </w:t>
      </w:r>
    </w:p>
    <w:p w14:paraId="697C667B" w14:textId="5A85A6A1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>Third Floor</w:t>
      </w:r>
    </w:p>
    <w:p w14:paraId="31E1F0E2" w14:textId="77777777" w:rsidR="001B6560" w:rsidRDefault="00CB2F8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 xml:space="preserve">1 King's Arms Yard London EC2R 7AF </w:t>
      </w:r>
    </w:p>
    <w:p w14:paraId="64745985" w14:textId="0F9713DE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>Attention: The Directors</w:t>
      </w:r>
    </w:p>
    <w:p w14:paraId="5E9B1F2D" w14:textId="77777777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>Telephone: +44 (0) 20 7397 3600</w:t>
      </w:r>
    </w:p>
    <w:p w14:paraId="0007F5B7" w14:textId="77777777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>Fax:</w:t>
      </w:r>
      <w:r w:rsidRPr="004F0349">
        <w:rPr>
          <w:b w:val="0"/>
          <w:bCs w:val="0"/>
        </w:rPr>
        <w:tab/>
        <w:t>+44 (0) 20 7397 3601</w:t>
      </w:r>
    </w:p>
    <w:p w14:paraId="1F0082DC" w14:textId="1810C6B0" w:rsidR="00CB2F89" w:rsidRPr="001B6560" w:rsidRDefault="00CB2F89" w:rsidP="001B6560">
      <w:pPr>
        <w:spacing w:after="0"/>
        <w:rPr>
          <w:rFonts w:ascii="Times New Roman" w:hAnsi="Times New Roman" w:cs="Times New Roman"/>
          <w:color w:val="0000ED"/>
          <w:sz w:val="24"/>
          <w:szCs w:val="24"/>
          <w:u w:val="single" w:color="0000ED"/>
        </w:rPr>
      </w:pPr>
      <w:r w:rsidRPr="001B6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e-mail: </w:t>
      </w:r>
      <w:hyperlink r:id="rId12">
        <w:r w:rsidR="001B6560" w:rsidRPr="002538D8">
          <w:rPr>
            <w:rFonts w:ascii="Times New Roman" w:hAnsi="Times New Roman" w:cs="Times New Roman"/>
            <w:color w:val="0000ED"/>
            <w:sz w:val="24"/>
            <w:szCs w:val="24"/>
            <w:u w:val="single" w:color="0000ED"/>
          </w:rPr>
          <w:t>transactionteam</w:t>
        </w:r>
        <w:r w:rsidR="001B6560" w:rsidRPr="002538D8">
          <w:rPr>
            <w:rFonts w:ascii="Times New Roman" w:hAnsi="Times New Roman" w:cs="Times New Roman"/>
            <w:color w:val="0000ED"/>
            <w:sz w:val="24"/>
            <w:szCs w:val="24"/>
          </w:rPr>
          <w:t>@</w:t>
        </w:r>
        <w:r w:rsidR="001B6560" w:rsidRPr="002538D8">
          <w:rPr>
            <w:rFonts w:ascii="Times New Roman" w:hAnsi="Times New Roman" w:cs="Times New Roman"/>
            <w:color w:val="0000ED"/>
            <w:sz w:val="24"/>
            <w:szCs w:val="24"/>
            <w:u w:val="single" w:color="0000ED"/>
          </w:rPr>
          <w:t>wilmingtontrust.com</w:t>
        </w:r>
      </w:hyperlink>
    </w:p>
    <w:p w14:paraId="0E103718" w14:textId="77777777" w:rsidR="001B6560" w:rsidRDefault="001B6560" w:rsidP="001B6560">
      <w:pPr>
        <w:pStyle w:val="BodyText"/>
        <w:spacing w:line="271" w:lineRule="exact"/>
        <w:rPr>
          <w:b w:val="0"/>
          <w:bCs w:val="0"/>
        </w:rPr>
      </w:pPr>
    </w:p>
    <w:p w14:paraId="71A8F8F4" w14:textId="50C76F93" w:rsidR="00CB2F89" w:rsidRPr="004F0349" w:rsidRDefault="00CB2F89" w:rsidP="001B6560">
      <w:pPr>
        <w:pStyle w:val="BodyText"/>
        <w:spacing w:line="271" w:lineRule="exact"/>
      </w:pPr>
      <w:r w:rsidRPr="004F0349">
        <w:rPr>
          <w:b w:val="0"/>
          <w:bCs w:val="0"/>
        </w:rPr>
        <w:t xml:space="preserve">Ref: </w:t>
      </w:r>
      <w:proofErr w:type="spellStart"/>
      <w:r w:rsidRPr="004F0349">
        <w:t>Eurosail</w:t>
      </w:r>
      <w:proofErr w:type="spellEnd"/>
      <w:r w:rsidRPr="004F0349">
        <w:t>-UK 2007-2NP PLC</w:t>
      </w:r>
    </w:p>
    <w:p w14:paraId="7A6389F8" w14:textId="77777777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</w:p>
    <w:p w14:paraId="57B0ED7F" w14:textId="77777777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>This notice is given by the Issuer.</w:t>
      </w:r>
    </w:p>
    <w:p w14:paraId="39940B76" w14:textId="77777777" w:rsidR="00CB2F89" w:rsidRPr="004F0349" w:rsidRDefault="00CB2F89" w:rsidP="00CB2F89">
      <w:pPr>
        <w:pStyle w:val="BodyText"/>
        <w:spacing w:line="271" w:lineRule="exact"/>
        <w:rPr>
          <w:b w:val="0"/>
          <w:bCs w:val="0"/>
        </w:rPr>
      </w:pPr>
    </w:p>
    <w:p w14:paraId="1197B83D" w14:textId="3455CC48" w:rsidR="00EE1455" w:rsidRPr="004F0349" w:rsidRDefault="004F0349" w:rsidP="00CB2F89">
      <w:pPr>
        <w:pStyle w:val="BodyText"/>
        <w:spacing w:line="271" w:lineRule="exact"/>
        <w:rPr>
          <w:b w:val="0"/>
          <w:bCs w:val="0"/>
        </w:rPr>
      </w:pPr>
      <w:r w:rsidRPr="004F0349">
        <w:rPr>
          <w:b w:val="0"/>
          <w:bCs w:val="0"/>
        </w:rPr>
        <w:t>5</w:t>
      </w:r>
      <w:r w:rsidR="00CB2F89" w:rsidRPr="004F0349">
        <w:rPr>
          <w:b w:val="0"/>
          <w:bCs w:val="0"/>
        </w:rPr>
        <w:t xml:space="preserve"> March 2024</w:t>
      </w:r>
    </w:p>
    <w:p w14:paraId="412E2CE1" w14:textId="77777777" w:rsidR="00DB0B0F" w:rsidRPr="004F0349" w:rsidRDefault="00DB0B0F">
      <w:pPr>
        <w:rPr>
          <w:rFonts w:ascii="Times New Roman" w:hAnsi="Times New Roman" w:cs="Times New Roman"/>
          <w:sz w:val="24"/>
          <w:szCs w:val="24"/>
        </w:rPr>
      </w:pPr>
    </w:p>
    <w:sectPr w:rsidR="00DB0B0F" w:rsidRPr="004F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1E4D" w14:textId="77777777" w:rsidR="0061398A" w:rsidRDefault="0061398A" w:rsidP="0061398A">
      <w:pPr>
        <w:spacing w:after="0" w:line="240" w:lineRule="auto"/>
      </w:pPr>
      <w:r>
        <w:separator/>
      </w:r>
    </w:p>
  </w:endnote>
  <w:endnote w:type="continuationSeparator" w:id="0">
    <w:p w14:paraId="50673BF0" w14:textId="77777777" w:rsidR="0061398A" w:rsidRDefault="0061398A" w:rsidP="0061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22BF" w14:textId="77777777" w:rsidR="0061398A" w:rsidRDefault="00613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1A0F" w14:textId="77777777" w:rsidR="0061398A" w:rsidRDefault="00613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CCCD" w14:textId="77777777" w:rsidR="0061398A" w:rsidRDefault="00613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3528" w14:textId="77777777" w:rsidR="0061398A" w:rsidRDefault="0061398A" w:rsidP="0061398A">
      <w:pPr>
        <w:spacing w:after="0" w:line="240" w:lineRule="auto"/>
      </w:pPr>
      <w:r>
        <w:separator/>
      </w:r>
    </w:p>
  </w:footnote>
  <w:footnote w:type="continuationSeparator" w:id="0">
    <w:p w14:paraId="3EAFD924" w14:textId="77777777" w:rsidR="0061398A" w:rsidRDefault="0061398A" w:rsidP="0061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8F29" w14:textId="77777777" w:rsidR="0061398A" w:rsidRDefault="00613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E92C" w14:textId="77777777" w:rsidR="0061398A" w:rsidRDefault="006139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1DD0" w14:textId="77777777" w:rsidR="0061398A" w:rsidRDefault="006139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55"/>
    <w:rsid w:val="00153FAB"/>
    <w:rsid w:val="001B6560"/>
    <w:rsid w:val="002200E5"/>
    <w:rsid w:val="003C643B"/>
    <w:rsid w:val="004B031D"/>
    <w:rsid w:val="004F0349"/>
    <w:rsid w:val="0054349B"/>
    <w:rsid w:val="006014D2"/>
    <w:rsid w:val="0061398A"/>
    <w:rsid w:val="00623745"/>
    <w:rsid w:val="006761DD"/>
    <w:rsid w:val="0074733E"/>
    <w:rsid w:val="0076405F"/>
    <w:rsid w:val="00863DF0"/>
    <w:rsid w:val="008D4CB0"/>
    <w:rsid w:val="00A55F32"/>
    <w:rsid w:val="00BC4FE6"/>
    <w:rsid w:val="00CB2F89"/>
    <w:rsid w:val="00D93171"/>
    <w:rsid w:val="00DB0B0F"/>
    <w:rsid w:val="00E52312"/>
    <w:rsid w:val="00EE1455"/>
    <w:rsid w:val="00F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4802"/>
  <w15:chartTrackingRefBased/>
  <w15:docId w15:val="{5E9F0FA5-BA39-4D3A-924F-88676CF1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1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145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E1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4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1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8A"/>
  </w:style>
  <w:style w:type="paragraph" w:styleId="Footer">
    <w:name w:val="footer"/>
    <w:basedOn w:val="Normal"/>
    <w:link w:val="FooterChar"/>
    <w:uiPriority w:val="99"/>
    <w:unhideWhenUsed/>
    <w:rsid w:val="0061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transactionteam@wilmingtontrust.com" TargetMode="External"/><Relationship Id="imanage.xml" Type="http://schemas.openxmlformats.org/officeDocument/2006/relationships/customXml" Target="/customXML/item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.xml>��< ? x m l   v e r s i o n = " 1 . 0 "   e n c o d i n g = " u t f - 1 6 " ? > < p r o p e r t i e s   x m l n s = " h t t p : / / w w w . i m a n a g e . c o m / w o r k / x m l s c h e m a " >  
     < d o c u m e n t i d > L E G A L 0 2 ! 4 4 1 4 7 8 2 4 . 4 < / d o c u m e n t i d >  
     < s e n d e r i d > S O U Z N < / s e n d e r i d >  
     < s e n d e r e m a i l > N A T A L I A . S O U Z A @ A L S T O N . C O M < / s e n d e r e m a i l >  
     < l a s t m o d i f i e d > 2 0 2 4 - 0 3 - 0 5 T 0 4 : 0 6 : 0 0 . 0 0 0 0 0 0 0 - 0 5 : 0 0 < / l a s t m o d i f i e d >  
     < d a t a b a s e > L E G A L 0 2 < / d a t a b a s e >  
 < / p r o p e r t i e s > 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CDB3B-EDC8-404C-A5B9-CB27FF54E641}"/>
</file>

<file path=customXML/itemProps2.xml><?xml version="1.0" encoding="utf-8"?>
<ds:datastoreItem xmlns:ds="http://schemas.openxmlformats.org/officeDocument/2006/customXml" ds:itemID="{ECE71B0D-CC97-466B-9607-D112F446C5D1}"/>
</file>

<file path=customXML/itemProps3.xml><?xml version="1.0" encoding="utf-8"?>
<ds:datastoreItem xmlns:ds="http://schemas.openxmlformats.org/officeDocument/2006/customXml" ds:itemID="{9BBBDA0B-033D-4D6A-BB7E-8A98A9912FCA}"/>
</file>

<file path=customXML/itemProps4.xml><?xml version="1.0" encoding="utf-8"?>
<ds:datastoreItem xmlns:ds="http://schemas.openxmlformats.org/officeDocument/2006/customXml" ds:itemID="{6CD6E1C1-C6BC-421C-B6F2-1FF70AF07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3752</Characters>
  <Application>Microsoft Office Word</Application>
  <DocSecurity>0</DocSecurity>
  <Lines>150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 &amp; Bird LLP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 &amp; Bird</dc:creator>
  <cp:keywords/>
  <dc:description/>
  <cp:lastModifiedBy>Alston &amp; Bird</cp:lastModifiedBy>
  <cp:revision>7</cp:revision>
  <cp:lastPrinted>2024-03-05T09:03:00Z</cp:lastPrinted>
  <dcterms:created xsi:type="dcterms:W3CDTF">2024-03-05T08:59:00Z</dcterms:created>
  <dcterms:modified xsi:type="dcterms:W3CDTF">2024-03-05T09:06:00Z</dcterms:modified>
</cp:coreProperties>
</file>